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896576"/>
      <w:bookmarkStart w:id="2" w:name="_Toc59900847"/>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2021年度原料运输业务</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TGJA-JXYS-2020-0</w:t>
      </w:r>
      <w:r>
        <w:rPr>
          <w:rFonts w:hint="eastAsia" w:ascii="微软雅黑" w:hAnsi="微软雅黑" w:eastAsia="微软雅黑" w:cs="微软雅黑"/>
          <w:b w:val="0"/>
          <w:bCs/>
          <w:i w:val="0"/>
          <w:caps w:val="0"/>
          <w:color w:val="000000"/>
          <w:spacing w:val="0"/>
          <w:sz w:val="28"/>
          <w:szCs w:val="28"/>
          <w:shd w:val="clear" w:color="auto" w:fill="auto"/>
          <w:lang w:val="en-US" w:eastAsia="zh-CN"/>
        </w:rPr>
        <w:t>4</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color w:val="auto"/>
          <w:spacing w:val="-4"/>
          <w:kern w:val="2"/>
          <w:sz w:val="32"/>
          <w:szCs w:val="32"/>
          <w:highlight w:val="none"/>
        </w:rPr>
      </w:pPr>
      <w:r>
        <w:rPr>
          <w:rFonts w:hint="eastAsia" w:ascii="宋体" w:hAnsi="宋体" w:eastAsia="宋体" w:cs="宋体"/>
          <w:color w:val="auto"/>
          <w:kern w:val="2"/>
          <w:sz w:val="32"/>
          <w:szCs w:val="32"/>
          <w:highlight w:val="none"/>
          <w:lang w:val="en-US" w:eastAsia="zh-CN" w:bidi="ar"/>
        </w:rPr>
        <w:t>招  标  人： 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二〇二〇年十二月</w:t>
      </w:r>
      <w:r>
        <w:rPr>
          <w:rFonts w:hint="eastAsia" w:ascii="宋体" w:hAnsi="宋体" w:cs="宋体"/>
          <w:color w:val="auto"/>
          <w:kern w:val="2"/>
          <w:sz w:val="32"/>
          <w:szCs w:val="32"/>
          <w:highlight w:val="none"/>
          <w:lang w:val="en-US" w:eastAsia="zh-CN" w:bidi="ar"/>
        </w:rPr>
        <w:t>十五</w:t>
      </w:r>
      <w:r>
        <w:rPr>
          <w:rFonts w:hint="eastAsia" w:ascii="宋体" w:hAnsi="宋体" w:eastAsia="宋体" w:cs="宋体"/>
          <w:color w:val="auto"/>
          <w:kern w:val="2"/>
          <w:sz w:val="32"/>
          <w:szCs w:val="32"/>
          <w:highlight w:val="none"/>
          <w:lang w:val="en-US" w:eastAsia="zh-CN" w:bidi="ar"/>
        </w:rPr>
        <w:t>日</w:t>
      </w:r>
    </w:p>
    <w:p>
      <w:pPr>
        <w:keepNext w:val="0"/>
        <w:keepLines w:val="0"/>
        <w:widowControl w:val="0"/>
        <w:suppressLineNumbers w:val="0"/>
        <w:spacing w:before="100" w:beforeAutospacing="1" w:after="100" w:afterAutospacing="1" w:line="360" w:lineRule="auto"/>
        <w:ind w:left="0" w:right="0"/>
        <w:jc w:val="both"/>
        <w:rPr>
          <w:rFonts w:hint="eastAsia" w:ascii="宋体" w:hAnsi="宋体" w:eastAsia="宋体" w:cs="宋体"/>
          <w:b/>
          <w:color w:val="auto"/>
          <w:kern w:val="2"/>
          <w:sz w:val="48"/>
          <w:szCs w:val="48"/>
          <w:highlight w:val="none"/>
        </w:rPr>
      </w:pPr>
      <w:r>
        <w:rPr>
          <w:rFonts w:hint="eastAsia" w:ascii="宋体" w:hAnsi="宋体" w:eastAsia="宋体" w:cs="宋体"/>
          <w:b/>
          <w:color w:val="auto"/>
          <w:kern w:val="2"/>
          <w:sz w:val="48"/>
          <w:szCs w:val="48"/>
          <w:highlight w:val="none"/>
          <w:lang w:val="en-US" w:eastAsia="zh-CN" w:bidi="ar"/>
        </w:rPr>
        <w:t xml:space="preserve"> </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铜陵铜冠建安新型环保建材科技限公司；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招标内容：1</w:t>
      </w:r>
      <w:r>
        <w:rPr>
          <w:rFonts w:hint="eastAsia" w:ascii="宋体" w:hAnsi="宋体" w:cs="宋体"/>
          <w:color w:val="auto"/>
          <w:sz w:val="28"/>
          <w:szCs w:val="28"/>
          <w:highlight w:val="none"/>
          <w:lang w:val="en-US" w:eastAsia="zh-CN"/>
        </w:rPr>
        <w:t>标段</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
        </w:rPr>
        <w:t>矿粉</w:t>
      </w:r>
      <w:r>
        <w:rPr>
          <w:rFonts w:hint="eastAsia" w:ascii="宋体" w:hAnsi="宋体" w:cs="宋体"/>
          <w:color w:val="auto"/>
          <w:kern w:val="0"/>
          <w:sz w:val="28"/>
          <w:szCs w:val="28"/>
          <w:highlight w:val="none"/>
          <w:lang w:val="en-US" w:eastAsia="zh-CN" w:bidi="ar"/>
        </w:rPr>
        <w:t>、散装水泥</w:t>
      </w:r>
      <w:r>
        <w:rPr>
          <w:rFonts w:hint="eastAsia" w:ascii="宋体" w:hAnsi="宋体" w:eastAsia="宋体" w:cs="宋体"/>
          <w:color w:val="auto"/>
          <w:kern w:val="0"/>
          <w:sz w:val="28"/>
          <w:szCs w:val="28"/>
          <w:highlight w:val="none"/>
          <w:lang w:val="en-US" w:eastAsia="zh-CN" w:bidi="ar"/>
        </w:rPr>
        <w:t>运输（含装车、运输、泵送至指定储仓），运输路线及距离如下：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4715"/>
        <w:gridCol w:w="208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471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0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（万吨）</w:t>
            </w:r>
          </w:p>
        </w:tc>
        <w:tc>
          <w:tcPr>
            <w:tcW w:w="1514"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马钢嘉华当涂马嘉分厂-铜冠建材</w:t>
            </w:r>
          </w:p>
        </w:tc>
        <w:tc>
          <w:tcPr>
            <w:tcW w:w="2082"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8</w:t>
            </w:r>
          </w:p>
        </w:tc>
        <w:tc>
          <w:tcPr>
            <w:tcW w:w="151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2</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马钢嘉华宣城南嘉分厂-铜冠建材</w:t>
            </w:r>
          </w:p>
        </w:tc>
        <w:tc>
          <w:tcPr>
            <w:tcW w:w="208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color w:val="auto"/>
                <w:kern w:val="0"/>
                <w:sz w:val="28"/>
                <w:szCs w:val="28"/>
                <w:highlight w:val="none"/>
                <w:vertAlign w:val="baseline"/>
                <w:lang w:val="en-US" w:eastAsia="zh-CN" w:bidi="ar"/>
              </w:rPr>
            </w:pPr>
          </w:p>
        </w:tc>
        <w:tc>
          <w:tcPr>
            <w:tcW w:w="151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3</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马钢嘉华本部-铜冠建材</w:t>
            </w:r>
          </w:p>
        </w:tc>
        <w:tc>
          <w:tcPr>
            <w:tcW w:w="2082"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2</w:t>
            </w:r>
          </w:p>
        </w:tc>
        <w:tc>
          <w:tcPr>
            <w:tcW w:w="151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4</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马钢嘉华利民星火分厂-铜冠建材</w:t>
            </w:r>
          </w:p>
        </w:tc>
        <w:tc>
          <w:tcPr>
            <w:tcW w:w="208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p>
        </w:tc>
        <w:tc>
          <w:tcPr>
            <w:tcW w:w="151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5</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芜湖三山区新兴铸管-铜冠建材</w:t>
            </w:r>
          </w:p>
        </w:tc>
        <w:tc>
          <w:tcPr>
            <w:tcW w:w="20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10</w:t>
            </w:r>
          </w:p>
        </w:tc>
        <w:tc>
          <w:tcPr>
            <w:tcW w:w="15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6</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铜陵上峰-</w:t>
            </w:r>
            <w:r>
              <w:rPr>
                <w:rFonts w:hint="eastAsia" w:ascii="宋体" w:hAnsi="宋体" w:eastAsia="宋体" w:cs="宋体"/>
                <w:color w:val="auto"/>
                <w:kern w:val="0"/>
                <w:sz w:val="28"/>
                <w:szCs w:val="28"/>
                <w:highlight w:val="none"/>
                <w:vertAlign w:val="baseline"/>
                <w:lang w:val="en-US" w:eastAsia="zh-CN" w:bidi="ar"/>
              </w:rPr>
              <w:t>铜冠建材</w:t>
            </w:r>
          </w:p>
        </w:tc>
        <w:tc>
          <w:tcPr>
            <w:tcW w:w="20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2</w:t>
            </w:r>
          </w:p>
        </w:tc>
        <w:tc>
          <w:tcPr>
            <w:tcW w:w="15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18</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标段</w:t>
      </w:r>
      <w:r>
        <w:rPr>
          <w:rFonts w:hint="eastAsia" w:ascii="宋体" w:hAnsi="宋体" w:eastAsia="宋体" w:cs="宋体"/>
          <w:color w:val="auto"/>
          <w:sz w:val="28"/>
          <w:szCs w:val="28"/>
          <w:highlight w:val="none"/>
          <w:lang w:val="en-US" w:eastAsia="zh-CN"/>
        </w:rPr>
        <w:t>：有色热电厂粉煤灰</w:t>
      </w:r>
      <w:r>
        <w:rPr>
          <w:rFonts w:hint="eastAsia" w:ascii="宋体" w:hAnsi="宋体" w:eastAsia="宋体" w:cs="宋体"/>
          <w:color w:val="auto"/>
          <w:kern w:val="0"/>
          <w:sz w:val="28"/>
          <w:szCs w:val="28"/>
          <w:highlight w:val="none"/>
          <w:lang w:val="en-US" w:eastAsia="zh-CN" w:bidi="ar"/>
        </w:rPr>
        <w:t>运输（含装车、运输、泵送至指定储仓），运输路线及距离如下：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4715"/>
        <w:gridCol w:w="208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471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0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（万吨）</w:t>
            </w:r>
          </w:p>
        </w:tc>
        <w:tc>
          <w:tcPr>
            <w:tcW w:w="1514"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有色热电厂粉煤灰库-铜冠建材</w:t>
            </w:r>
          </w:p>
        </w:tc>
        <w:tc>
          <w:tcPr>
            <w:tcW w:w="20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4</w:t>
            </w:r>
          </w:p>
        </w:tc>
        <w:tc>
          <w:tcPr>
            <w:tcW w:w="15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标段</w:t>
      </w:r>
      <w:r>
        <w:rPr>
          <w:rFonts w:hint="eastAsia" w:ascii="宋体" w:hAnsi="宋体" w:eastAsia="宋体" w:cs="宋体"/>
          <w:color w:val="auto"/>
          <w:sz w:val="28"/>
          <w:szCs w:val="28"/>
          <w:highlight w:val="none"/>
          <w:lang w:val="en-US" w:eastAsia="zh-CN"/>
        </w:rPr>
        <w:t>：有色热电厂炉渣、石膏</w:t>
      </w:r>
      <w:r>
        <w:rPr>
          <w:rFonts w:hint="eastAsia" w:ascii="宋体" w:hAnsi="宋体" w:eastAsia="宋体" w:cs="宋体"/>
          <w:color w:val="auto"/>
          <w:kern w:val="0"/>
          <w:sz w:val="28"/>
          <w:szCs w:val="28"/>
          <w:highlight w:val="none"/>
          <w:lang w:val="en-US" w:eastAsia="zh-CN" w:bidi="ar"/>
        </w:rPr>
        <w:t>运输（含装车、运输、送至指定仓库），运输路线及距离如下：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4715"/>
        <w:gridCol w:w="208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471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0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（万吨）</w:t>
            </w:r>
          </w:p>
        </w:tc>
        <w:tc>
          <w:tcPr>
            <w:tcW w:w="1514"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有色热电厂炉渣石膏库-铜冠建材</w:t>
            </w:r>
          </w:p>
        </w:tc>
        <w:tc>
          <w:tcPr>
            <w:tcW w:w="20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2</w:t>
            </w:r>
          </w:p>
        </w:tc>
        <w:tc>
          <w:tcPr>
            <w:tcW w:w="15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2</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A:1包车辆要求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车辆型号：罐式粉状物料运输车（或环保自卸车），额定载重量不低于30吨；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车辆需具备自行泵送物料（自卸）的功能；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B:2、3包运输车辆要求</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证照齐全的环保运输车；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招标项目执行期限：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原则自2021年1月1日至2021年12月31日，具体以招标方实际销售情况定。</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资质要求</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投标单位应为从事道路运输业务的一般纳税人，提供有效期内的营业执照；</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投标单位应提供有效期内的道路运输经营许可证；</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投标单位应具有较强的资金保障能力；</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自有可投入到本招标业务的运输车辆不少于2辆，以提供的机动车登记证书为准。</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招标程序及日程安排</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招标文件的领取：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（1）领取时间：</w:t>
      </w:r>
      <w:r>
        <w:rPr>
          <w:rFonts w:hint="eastAsia" w:ascii="宋体" w:hAnsi="宋体" w:eastAsia="宋体" w:cs="宋体"/>
          <w:color w:val="auto"/>
          <w:sz w:val="28"/>
          <w:szCs w:val="28"/>
          <w:highlight w:val="none"/>
          <w:u w:val="single"/>
          <w:lang w:val="en-US" w:eastAsia="zh-CN"/>
        </w:rPr>
        <w:t>2020年12月1</w:t>
      </w:r>
      <w:r>
        <w:rPr>
          <w:rFonts w:hint="eastAsia" w:ascii="宋体" w:hAnsi="宋体" w:cs="宋体"/>
          <w:color w:val="auto"/>
          <w:sz w:val="28"/>
          <w:szCs w:val="28"/>
          <w:highlight w:val="none"/>
          <w:u w:val="single"/>
          <w:lang w:val="en-US" w:eastAsia="zh-CN"/>
        </w:rPr>
        <w:t>8</w:t>
      </w:r>
      <w:r>
        <w:rPr>
          <w:rFonts w:hint="eastAsia" w:ascii="宋体" w:hAnsi="宋体" w:eastAsia="宋体" w:cs="宋体"/>
          <w:color w:val="auto"/>
          <w:sz w:val="28"/>
          <w:szCs w:val="28"/>
          <w:highlight w:val="none"/>
          <w:u w:val="single"/>
          <w:lang w:val="en-US" w:eastAsia="zh-CN"/>
        </w:rPr>
        <w:t>日8:00至2020年12月1</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日17:00</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green"/>
          <w:lang w:val="en-US" w:eastAsia="zh-CN"/>
        </w:rPr>
      </w:pPr>
      <w:r>
        <w:rPr>
          <w:rFonts w:hint="eastAsia" w:ascii="宋体" w:hAnsi="宋体" w:eastAsia="宋体" w:cs="宋体"/>
          <w:color w:val="auto"/>
          <w:sz w:val="28"/>
          <w:szCs w:val="28"/>
          <w:highlight w:val="none"/>
          <w:lang w:val="en-US" w:eastAsia="zh-CN"/>
        </w:rPr>
        <w:t>（2）领取地点：</w:t>
      </w:r>
      <w:r>
        <w:rPr>
          <w:rFonts w:hint="eastAsia" w:ascii="宋体" w:hAnsi="宋体" w:eastAsia="宋体" w:cs="宋体"/>
          <w:color w:val="auto"/>
          <w:sz w:val="28"/>
          <w:szCs w:val="28"/>
          <w:highlight w:val="green"/>
          <w:u w:val="single"/>
          <w:lang w:val="en-US" w:eastAsia="zh-CN"/>
        </w:rPr>
        <w:t xml:space="preserve">铜陵铜冠建安新型环保建材科技有限公司，任凡 </w:t>
      </w:r>
      <w:r>
        <w:rPr>
          <w:rFonts w:hint="eastAsia" w:ascii="宋体" w:hAnsi="宋体" w:eastAsia="宋体" w:cs="宋体"/>
          <w:color w:val="auto"/>
          <w:kern w:val="2"/>
          <w:sz w:val="28"/>
          <w:szCs w:val="28"/>
          <w:highlight w:val="green"/>
          <w:u w:val="single"/>
          <w:lang w:val="en-US" w:eastAsia="zh-CN" w:bidi="ar"/>
        </w:rPr>
        <w:t>15656263008</w:t>
      </w:r>
      <w:r>
        <w:rPr>
          <w:rFonts w:hint="eastAsia" w:ascii="宋体" w:hAnsi="宋体" w:eastAsia="宋体" w:cs="宋体"/>
          <w:color w:val="auto"/>
          <w:kern w:val="2"/>
          <w:sz w:val="28"/>
          <w:szCs w:val="28"/>
          <w:highlight w:val="green"/>
          <w:u w:val="none"/>
          <w:lang w:val="en-US" w:eastAsia="zh-CN" w:bidi="ar"/>
        </w:rPr>
        <w:t>；</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潜在投标人有须澄清事宜，应于</w:t>
      </w:r>
      <w:r>
        <w:rPr>
          <w:rFonts w:hint="eastAsia" w:ascii="宋体" w:hAnsi="宋体" w:eastAsia="宋体" w:cs="宋体"/>
          <w:color w:val="auto"/>
          <w:sz w:val="28"/>
          <w:szCs w:val="28"/>
          <w:highlight w:val="none"/>
          <w:u w:val="single"/>
          <w:lang w:val="en-US" w:eastAsia="zh-CN"/>
        </w:rPr>
        <w:t>2020年12月</w:t>
      </w:r>
      <w:r>
        <w:rPr>
          <w:rFonts w:hint="eastAsia" w:ascii="宋体" w:hAnsi="宋体" w:cs="宋体"/>
          <w:color w:val="auto"/>
          <w:sz w:val="28"/>
          <w:szCs w:val="28"/>
          <w:highlight w:val="none"/>
          <w:u w:val="single"/>
          <w:lang w:val="en-US" w:eastAsia="zh-CN"/>
        </w:rPr>
        <w:t>23</w:t>
      </w:r>
      <w:r>
        <w:rPr>
          <w:rFonts w:hint="eastAsia" w:ascii="宋体" w:hAnsi="宋体" w:eastAsia="宋体" w:cs="宋体"/>
          <w:color w:val="auto"/>
          <w:sz w:val="28"/>
          <w:szCs w:val="28"/>
          <w:highlight w:val="none"/>
          <w:u w:val="single"/>
          <w:lang w:val="en-US" w:eastAsia="zh-CN"/>
        </w:rPr>
        <w:t>日17:00前</w:t>
      </w:r>
      <w:r>
        <w:rPr>
          <w:rFonts w:hint="eastAsia" w:ascii="宋体" w:hAnsi="宋体" w:eastAsia="宋体" w:cs="宋体"/>
          <w:color w:val="auto"/>
          <w:sz w:val="28"/>
          <w:szCs w:val="28"/>
          <w:highlight w:val="none"/>
          <w:lang w:val="en-US" w:eastAsia="zh-CN"/>
        </w:rPr>
        <w:t>向招标人提交书面材料，招标人于</w:t>
      </w:r>
      <w:r>
        <w:rPr>
          <w:rFonts w:hint="eastAsia" w:ascii="宋体" w:hAnsi="宋体" w:eastAsia="宋体" w:cs="宋体"/>
          <w:color w:val="auto"/>
          <w:sz w:val="28"/>
          <w:szCs w:val="28"/>
          <w:highlight w:val="none"/>
          <w:u w:val="single"/>
          <w:lang w:val="en-US" w:eastAsia="zh-CN"/>
        </w:rPr>
        <w:t>2020年12月</w:t>
      </w:r>
      <w:r>
        <w:rPr>
          <w:rFonts w:hint="eastAsia" w:ascii="宋体" w:hAnsi="宋体" w:cs="宋体"/>
          <w:color w:val="auto"/>
          <w:sz w:val="28"/>
          <w:szCs w:val="28"/>
          <w:highlight w:val="none"/>
          <w:u w:val="single"/>
          <w:lang w:val="en-US" w:eastAsia="zh-CN"/>
        </w:rPr>
        <w:t>24</w:t>
      </w:r>
      <w:r>
        <w:rPr>
          <w:rFonts w:hint="eastAsia" w:ascii="宋体" w:hAnsi="宋体" w:eastAsia="宋体" w:cs="宋体"/>
          <w:color w:val="auto"/>
          <w:sz w:val="28"/>
          <w:szCs w:val="28"/>
          <w:highlight w:val="none"/>
          <w:u w:val="single"/>
          <w:lang w:val="en-US" w:eastAsia="zh-CN"/>
        </w:rPr>
        <w:t>日17:00前</w:t>
      </w:r>
      <w:r>
        <w:rPr>
          <w:rFonts w:hint="eastAsia" w:ascii="宋体" w:hAnsi="宋体" w:eastAsia="宋体" w:cs="宋体"/>
          <w:color w:val="auto"/>
          <w:sz w:val="28"/>
          <w:szCs w:val="28"/>
          <w:highlight w:val="none"/>
          <w:lang w:val="en-US" w:eastAsia="zh-CN"/>
        </w:rPr>
        <w:t>向所有潜在投标人统一回复；</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（1）开标时间：</w:t>
      </w:r>
      <w:r>
        <w:rPr>
          <w:rFonts w:hint="eastAsia" w:ascii="宋体" w:hAnsi="宋体" w:eastAsia="宋体" w:cs="宋体"/>
          <w:color w:val="auto"/>
          <w:sz w:val="28"/>
          <w:szCs w:val="28"/>
          <w:highlight w:val="none"/>
          <w:u w:val="single"/>
          <w:lang w:val="en-US" w:eastAsia="zh-CN"/>
        </w:rPr>
        <w:t xml:space="preserve">2020年12月 </w:t>
      </w:r>
      <w:r>
        <w:rPr>
          <w:rFonts w:hint="eastAsia" w:ascii="宋体" w:hAnsi="宋体" w:cs="宋体"/>
          <w:color w:val="auto"/>
          <w:sz w:val="28"/>
          <w:szCs w:val="28"/>
          <w:highlight w:val="none"/>
          <w:u w:val="single"/>
          <w:lang w:val="en-US" w:eastAsia="zh-CN"/>
        </w:rPr>
        <w:t>30</w:t>
      </w:r>
      <w:r>
        <w:rPr>
          <w:rFonts w:hint="eastAsia" w:ascii="宋体" w:hAnsi="宋体" w:eastAsia="宋体" w:cs="宋体"/>
          <w:color w:val="auto"/>
          <w:sz w:val="28"/>
          <w:szCs w:val="28"/>
          <w:highlight w:val="none"/>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（2）开标地点：</w:t>
      </w:r>
      <w:r>
        <w:rPr>
          <w:rFonts w:hint="eastAsia" w:ascii="宋体" w:hAnsi="宋体" w:eastAsia="宋体" w:cs="宋体"/>
          <w:color w:val="auto"/>
          <w:sz w:val="28"/>
          <w:szCs w:val="28"/>
          <w:highlight w:val="none"/>
          <w:u w:val="single"/>
          <w:lang w:val="en-US" w:eastAsia="zh-CN"/>
        </w:rPr>
        <w:t>铜冠建筑安装股份有限公司办公楼三楼会议室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（3）投标人应在开标时间之前递交投标文件至</w:t>
      </w:r>
      <w:r>
        <w:rPr>
          <w:rFonts w:hint="eastAsia" w:ascii="宋体" w:hAnsi="宋体" w:eastAsia="宋体" w:cs="宋体"/>
          <w:color w:val="auto"/>
          <w:sz w:val="28"/>
          <w:szCs w:val="28"/>
          <w:highlight w:val="green"/>
          <w:u w:val="single"/>
          <w:lang w:val="en-US" w:eastAsia="zh-CN"/>
        </w:rPr>
        <w:t>铜冠建筑安装股份有限公司三楼</w:t>
      </w:r>
      <w:r>
        <w:rPr>
          <w:rFonts w:hint="eastAsia" w:ascii="宋体" w:hAnsi="宋体" w:cs="宋体"/>
          <w:color w:val="auto"/>
          <w:sz w:val="28"/>
          <w:szCs w:val="28"/>
          <w:highlight w:val="green"/>
          <w:u w:val="single"/>
          <w:lang w:val="en-US" w:eastAsia="zh-CN"/>
        </w:rPr>
        <w:t>经营部</w:t>
      </w:r>
      <w:r>
        <w:rPr>
          <w:rFonts w:hint="eastAsia" w:ascii="宋体" w:hAnsi="宋体" w:eastAsia="宋体" w:cs="宋体"/>
          <w:color w:val="auto"/>
          <w:sz w:val="28"/>
          <w:szCs w:val="28"/>
          <w:highlight w:val="green"/>
          <w:u w:val="single"/>
          <w:lang w:val="en-US" w:eastAsia="zh-CN"/>
        </w:rPr>
        <w:t>（</w:t>
      </w:r>
      <w:r>
        <w:rPr>
          <w:rFonts w:hint="eastAsia" w:ascii="宋体" w:hAnsi="宋体" w:cs="宋体"/>
          <w:color w:val="auto"/>
          <w:kern w:val="0"/>
          <w:sz w:val="28"/>
          <w:szCs w:val="28"/>
          <w:highlight w:val="green"/>
          <w:u w:val="single"/>
          <w:lang w:val="en-US" w:eastAsia="zh-CN" w:bidi="ar"/>
        </w:rPr>
        <w:t>黄赟</w:t>
      </w:r>
      <w:r>
        <w:rPr>
          <w:rFonts w:hint="eastAsia" w:ascii="宋体" w:hAnsi="宋体" w:eastAsia="宋体" w:cs="宋体"/>
          <w:color w:val="auto"/>
          <w:kern w:val="0"/>
          <w:sz w:val="28"/>
          <w:szCs w:val="28"/>
          <w:highlight w:val="green"/>
          <w:u w:val="single"/>
          <w:lang w:val="en-US" w:eastAsia="zh-CN" w:bidi="ar"/>
        </w:rPr>
        <w:t>1</w:t>
      </w:r>
      <w:r>
        <w:rPr>
          <w:rFonts w:hint="eastAsia" w:ascii="宋体" w:hAnsi="宋体" w:cs="宋体"/>
          <w:color w:val="auto"/>
          <w:kern w:val="0"/>
          <w:sz w:val="28"/>
          <w:szCs w:val="28"/>
          <w:highlight w:val="green"/>
          <w:u w:val="single"/>
          <w:lang w:val="en-US" w:eastAsia="zh-CN" w:bidi="ar"/>
        </w:rPr>
        <w:t>8656211500</w:t>
      </w:r>
      <w:r>
        <w:rPr>
          <w:rFonts w:hint="eastAsia" w:ascii="宋体" w:hAnsi="宋体" w:eastAsia="宋体" w:cs="宋体"/>
          <w:color w:val="auto"/>
          <w:kern w:val="0"/>
          <w:sz w:val="28"/>
          <w:szCs w:val="28"/>
          <w:highlight w:val="green"/>
          <w:u w:val="single"/>
          <w:lang w:val="en-US" w:eastAsia="zh-CN" w:bidi="ar"/>
        </w:rPr>
        <w:t>）</w:t>
      </w:r>
      <w:r>
        <w:rPr>
          <w:rFonts w:hint="eastAsia" w:ascii="宋体" w:hAnsi="宋体" w:eastAsia="宋体" w:cs="宋体"/>
          <w:color w:val="auto"/>
          <w:sz w:val="28"/>
          <w:szCs w:val="28"/>
          <w:highlight w:val="green"/>
          <w:lang w:val="en-US" w:eastAsia="zh-CN"/>
        </w:rPr>
        <w:t>，</w:t>
      </w:r>
      <w:r>
        <w:rPr>
          <w:rFonts w:hint="eastAsia" w:ascii="宋体" w:hAnsi="宋体" w:eastAsia="宋体" w:cs="宋体"/>
          <w:color w:val="auto"/>
          <w:sz w:val="28"/>
          <w:szCs w:val="28"/>
          <w:highlight w:val="none"/>
          <w:lang w:val="en-US" w:eastAsia="zh-CN"/>
        </w:rPr>
        <w:t>逾期视为投标文件无效；</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定标：</w:t>
      </w:r>
      <w:r>
        <w:rPr>
          <w:rFonts w:hint="eastAsia" w:ascii="宋体" w:hAnsi="宋体" w:eastAsia="宋体" w:cs="宋体"/>
          <w:color w:val="auto"/>
          <w:sz w:val="28"/>
          <w:szCs w:val="28"/>
          <w:highlight w:val="none"/>
          <w:u w:val="single"/>
          <w:lang w:val="en-US" w:eastAsia="zh-CN"/>
        </w:rPr>
        <w:t>根据开标结果确定；</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发中标通知书：</w:t>
      </w:r>
      <w:r>
        <w:rPr>
          <w:rFonts w:hint="eastAsia" w:ascii="宋体" w:hAnsi="宋体" w:eastAsia="宋体" w:cs="宋体"/>
          <w:color w:val="auto"/>
          <w:sz w:val="28"/>
          <w:szCs w:val="28"/>
          <w:highlight w:val="none"/>
          <w:u w:val="single"/>
          <w:lang w:val="en-US" w:eastAsia="zh-CN"/>
        </w:rPr>
        <w:t>定标后 3 天内；</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合同签订：</w:t>
      </w:r>
      <w:r>
        <w:rPr>
          <w:rFonts w:hint="eastAsia" w:ascii="宋体" w:hAnsi="宋体" w:eastAsia="宋体" w:cs="宋体"/>
          <w:color w:val="auto"/>
          <w:sz w:val="28"/>
          <w:szCs w:val="28"/>
          <w:highlight w:val="none"/>
          <w:u w:val="single"/>
          <w:lang w:val="en-US" w:eastAsia="zh-CN"/>
        </w:rPr>
        <w:t>中标单位接中标通知后 7天内；</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lang w:val="en-US" w:eastAsia="zh-CN"/>
        </w:rPr>
        <w:t>投标有效期：</w:t>
      </w:r>
      <w:r>
        <w:rPr>
          <w:rFonts w:hint="eastAsia" w:ascii="宋体" w:hAnsi="宋体" w:eastAsia="宋体" w:cs="宋体"/>
          <w:color w:val="auto"/>
          <w:sz w:val="28"/>
          <w:szCs w:val="28"/>
          <w:highlight w:val="none"/>
          <w:u w:val="single"/>
          <w:lang w:val="en-US" w:eastAsia="zh-CN"/>
        </w:rPr>
        <w:t>开标之日起 30 天；</w:t>
      </w:r>
    </w:p>
    <w:p>
      <w:pPr>
        <w:keepNext w:val="0"/>
        <w:keepLines w:val="0"/>
        <w:pageBreakBefore w:val="0"/>
        <w:widowControl w:val="0"/>
        <w:numPr>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u w:val="singl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u w:val="singl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u w:val="single"/>
          <w:lang w:val="en-US" w:eastAsia="zh-CN"/>
        </w:rPr>
      </w:pP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green"/>
          <w:u w:val="none"/>
          <w:lang w:val="en-US" w:eastAsia="zh-CN"/>
        </w:rPr>
      </w:pPr>
      <w:r>
        <w:rPr>
          <w:rFonts w:hint="eastAsia" w:ascii="宋体" w:hAnsi="宋体" w:eastAsia="宋体" w:cs="宋体"/>
          <w:color w:val="auto"/>
          <w:sz w:val="28"/>
          <w:szCs w:val="28"/>
          <w:highlight w:val="none"/>
          <w:lang w:val="en-US" w:eastAsia="zh-CN"/>
        </w:rPr>
        <w:t>投标保证金：</w:t>
      </w:r>
      <w:r>
        <w:rPr>
          <w:rFonts w:hint="eastAsia" w:ascii="宋体" w:hAnsi="宋体" w:eastAsia="宋体" w:cs="宋体"/>
          <w:color w:val="auto"/>
          <w:sz w:val="28"/>
          <w:szCs w:val="28"/>
          <w:highlight w:val="green"/>
          <w:lang w:val="en-US" w:eastAsia="zh-CN"/>
        </w:rPr>
        <w:t>本次招标设投标保证金</w:t>
      </w:r>
      <w:r>
        <w:rPr>
          <w:rFonts w:hint="eastAsia" w:ascii="宋体" w:hAnsi="宋体" w:eastAsia="宋体" w:cs="宋体"/>
          <w:color w:val="auto"/>
          <w:sz w:val="28"/>
          <w:szCs w:val="28"/>
          <w:highlight w:val="green"/>
          <w:u w:val="single"/>
          <w:lang w:val="en-US" w:eastAsia="zh-CN"/>
        </w:rPr>
        <w:t>人民币贰万元（¥：20000.00），</w:t>
      </w:r>
      <w:r>
        <w:rPr>
          <w:rFonts w:hint="eastAsia" w:ascii="宋体" w:hAnsi="宋体" w:eastAsia="宋体" w:cs="宋体"/>
          <w:color w:val="auto"/>
          <w:sz w:val="28"/>
          <w:szCs w:val="28"/>
          <w:highlight w:val="green"/>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green"/>
          <w:lang w:val="en-US" w:eastAsia="zh-CN"/>
        </w:rPr>
      </w:pPr>
      <w:r>
        <w:rPr>
          <w:rFonts w:hint="eastAsia" w:ascii="宋体" w:hAnsi="宋体" w:eastAsia="宋体" w:cs="宋体"/>
          <w:color w:val="auto"/>
          <w:sz w:val="28"/>
          <w:szCs w:val="28"/>
          <w:highlight w:val="green"/>
          <w:lang w:val="en-US" w:eastAsia="zh-CN"/>
        </w:rPr>
        <w:t>户    名：铜陵铜冠建安新型环保建材科技有限公司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green"/>
          <w:lang w:val="en-US" w:eastAsia="zh-CN"/>
        </w:rPr>
      </w:pPr>
      <w:r>
        <w:rPr>
          <w:rFonts w:hint="eastAsia" w:ascii="宋体" w:hAnsi="宋体" w:eastAsia="宋体" w:cs="宋体"/>
          <w:color w:val="auto"/>
          <w:sz w:val="28"/>
          <w:szCs w:val="28"/>
          <w:highlight w:val="green"/>
          <w:lang w:val="en-US" w:eastAsia="zh-CN"/>
        </w:rPr>
        <w:t>开户银行：中国银行铜陵分行义安支行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green"/>
          <w:lang w:val="en-US" w:eastAsia="zh-CN"/>
        </w:rPr>
      </w:pPr>
      <w:r>
        <w:rPr>
          <w:rFonts w:hint="eastAsia" w:ascii="宋体" w:hAnsi="宋体" w:eastAsia="宋体" w:cs="宋体"/>
          <w:color w:val="auto"/>
          <w:sz w:val="28"/>
          <w:szCs w:val="28"/>
          <w:highlight w:val="green"/>
          <w:lang w:val="en-US" w:eastAsia="zh-CN"/>
        </w:rPr>
        <w:t>帐    号：179 725 225 176</w:t>
      </w:r>
      <w:r>
        <w:rPr>
          <w:rFonts w:hint="eastAsia" w:ascii="宋体" w:hAnsi="宋体" w:eastAsia="宋体" w:cs="宋体"/>
          <w:color w:val="auto"/>
          <w:sz w:val="28"/>
          <w:szCs w:val="28"/>
          <w:highlight w:val="green"/>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投标人应在在投标文件中提供汇款证明，未按要求递交投标保证金的视为投标无效。投标保证金在合同签订后7天内退还至原账户。投标人在投标有效期内撤回投标的，招标人可以拒绝退还投标保证金。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rPr>
      </w:pPr>
      <w:r>
        <w:rPr>
          <w:rFonts w:hint="eastAsia" w:ascii="Arial" w:hAnsi="Arial" w:eastAsia="宋体" w:cs="宋体"/>
          <w:b/>
          <w:bCs/>
          <w:color w:val="auto"/>
          <w:kern w:val="2"/>
          <w:sz w:val="44"/>
          <w:szCs w:val="44"/>
          <w:highlight w:val="none"/>
        </w:rPr>
        <w:t>投标</w:t>
      </w:r>
      <w:r>
        <w:rPr>
          <w:rFonts w:hint="eastAsia" w:ascii="Arial" w:hAnsi="Arial" w:eastAsia="宋体" w:cs="宋体"/>
          <w:b/>
          <w:bCs/>
          <w:color w:val="auto"/>
          <w:kern w:val="2"/>
          <w:sz w:val="44"/>
          <w:szCs w:val="44"/>
          <w:highlight w:val="none"/>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（5）企业证照</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本次招标的投标报价采用</w:t>
      </w:r>
      <w:r>
        <w:rPr>
          <w:rFonts w:hint="eastAsia" w:ascii="宋体" w:hAnsi="宋体" w:eastAsia="宋体" w:cs="宋体"/>
          <w:b/>
          <w:bCs/>
          <w:color w:val="auto"/>
          <w:sz w:val="28"/>
          <w:szCs w:val="28"/>
          <w:highlight w:val="none"/>
          <w:u w:val="single"/>
          <w:lang w:val="en-US" w:eastAsia="zh-CN"/>
        </w:rPr>
        <w:t>固定单价（含9%增值税）</w:t>
      </w:r>
      <w:r>
        <w:rPr>
          <w:rFonts w:hint="eastAsia" w:ascii="宋体" w:hAnsi="宋体" w:eastAsia="宋体" w:cs="宋体"/>
          <w:color w:val="auto"/>
          <w:sz w:val="28"/>
          <w:szCs w:val="28"/>
          <w:highlight w:val="none"/>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投标人对运输方案的优化，招标人理解为投标人为完成招标或合同内容所采用的措施项目，不另计算费用。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价格调整：由于油料、过路过桥费等市场价格变动引起的因素，不予调整合同价。</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rPr>
      </w:pPr>
      <w:bookmarkStart w:id="3" w:name="_Toc227583045"/>
      <w:bookmarkStart w:id="4" w:name="_Toc248296423"/>
      <w:r>
        <w:rPr>
          <w:rFonts w:hint="eastAsia" w:ascii="Arial" w:hAnsi="Arial" w:eastAsia="宋体" w:cs="宋体"/>
          <w:b/>
          <w:bCs/>
          <w:color w:val="auto"/>
          <w:kern w:val="2"/>
          <w:sz w:val="44"/>
          <w:szCs w:val="44"/>
          <w:highlight w:val="none"/>
        </w:rPr>
        <w:t xml:space="preserve"> </w:t>
      </w:r>
      <w:r>
        <w:rPr>
          <w:rFonts w:hint="eastAsia" w:ascii="Arial" w:hAnsi="Arial" w:eastAsia="宋体" w:cs="宋体"/>
          <w:b/>
          <w:bCs/>
          <w:color w:val="auto"/>
          <w:kern w:val="2"/>
          <w:sz w:val="44"/>
          <w:szCs w:val="44"/>
          <w:highlight w:val="none"/>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bookmarkEnd w:id="3"/>
      <w:bookmarkEnd w:id="4"/>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本评标办法依据《中华人民共和国招标投标法》等有关规定并结合本次招标特点制定。</w:t>
      </w:r>
      <w:bookmarkStart w:id="5" w:name="_Toc227583046"/>
      <w:bookmarkStart w:id="6" w:name="_Toc248296424"/>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评标组织机构</w:t>
      </w:r>
      <w:bookmarkEnd w:id="5"/>
      <w:bookmarkEnd w:id="6"/>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评审工作组：评标委员会下设商务评审工作组、技术评审工作组，协助评标委员会工作。</w:t>
      </w:r>
      <w:bookmarkStart w:id="7" w:name="_Toc227583047"/>
      <w:bookmarkStart w:id="8" w:name="_Toc248296425"/>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评标工作程序</w:t>
      </w:r>
      <w:bookmarkEnd w:id="7"/>
      <w:bookmarkEnd w:id="8"/>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本次评标采用经评审的合理低价中标法。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评标程序：本次评标按商务评审、技术评审、报价评审、推荐中标候选人、完成评标报告程序进行。 </w:t>
      </w:r>
      <w:bookmarkStart w:id="9" w:name="_Toc227583048"/>
      <w:bookmarkStart w:id="10" w:name="_Toc248296426"/>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评审</w:t>
      </w:r>
      <w:bookmarkEnd w:id="9"/>
      <w:bookmarkEnd w:id="10"/>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评标将针对各运输线路</w:t>
      </w:r>
      <w:r>
        <w:rPr>
          <w:rFonts w:hint="eastAsia" w:ascii="宋体" w:hAnsi="宋体" w:cs="宋体"/>
          <w:color w:val="auto"/>
          <w:sz w:val="28"/>
          <w:szCs w:val="28"/>
          <w:highlight w:val="none"/>
          <w:lang w:val="en-US" w:eastAsia="zh-CN"/>
        </w:rPr>
        <w:t>（三个标段）</w:t>
      </w:r>
      <w:r>
        <w:rPr>
          <w:rFonts w:hint="eastAsia" w:ascii="宋体" w:hAnsi="宋体" w:eastAsia="宋体" w:cs="宋体"/>
          <w:color w:val="auto"/>
          <w:sz w:val="28"/>
          <w:szCs w:val="28"/>
          <w:highlight w:val="none"/>
          <w:lang w:val="en-US" w:eastAsia="zh-CN"/>
        </w:rPr>
        <w:t>分别进行评审。</w:t>
      </w:r>
      <w:r>
        <w:rPr>
          <w:rFonts w:hint="eastAsia" w:ascii="宋体" w:hAnsi="宋体" w:eastAsia="宋体" w:cs="宋体"/>
          <w:sz w:val="28"/>
          <w:szCs w:val="28"/>
          <w:lang w:val="en-US" w:eastAsia="zh-CN"/>
        </w:rPr>
        <w:t>评标委员会对满足招标文件实质性要求的投标文件，按照评分标准进行打分，根据总分排名推荐两名中标候选人，进入二轮谈判，招标人根据中标候选人的综合运输实力，</w:t>
      </w:r>
      <w:r>
        <w:rPr>
          <w:rFonts w:hint="eastAsia" w:ascii="宋体" w:hAnsi="宋体" w:eastAsia="宋体" w:cs="宋体"/>
          <w:color w:val="auto"/>
          <w:sz w:val="28"/>
          <w:szCs w:val="28"/>
          <w:highlight w:val="none"/>
          <w:lang w:val="en-US" w:eastAsia="zh-CN"/>
        </w:rPr>
        <w:t>各运输线路</w:t>
      </w:r>
      <w:r>
        <w:rPr>
          <w:rFonts w:hint="eastAsia" w:ascii="宋体" w:hAnsi="宋体" w:cs="宋体"/>
          <w:color w:val="auto"/>
          <w:sz w:val="28"/>
          <w:szCs w:val="28"/>
          <w:highlight w:val="none"/>
          <w:lang w:val="en-US" w:eastAsia="zh-CN"/>
        </w:rPr>
        <w:t>分别</w:t>
      </w:r>
      <w:r>
        <w:rPr>
          <w:rFonts w:hint="eastAsia" w:ascii="宋体" w:hAnsi="宋体" w:eastAsia="宋体" w:cs="宋体"/>
          <w:sz w:val="28"/>
          <w:szCs w:val="28"/>
          <w:lang w:val="en-US" w:eastAsia="zh-CN"/>
        </w:rPr>
        <w:t>确定一名最终中标人，签订合同。</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商务评审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 xml:space="preserve">审查投标人是否根据招标文件的规定提供了全部要求的文件，审核投标文件是否实质性地符合招标文件的要求，商务审查的主要内容为： </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① </w:t>
      </w:r>
      <w:r>
        <w:rPr>
          <w:rFonts w:hint="eastAsia" w:ascii="宋体" w:hAnsi="宋体" w:eastAsia="宋体" w:cs="宋体"/>
          <w:color w:val="auto"/>
          <w:kern w:val="0"/>
          <w:sz w:val="28"/>
          <w:szCs w:val="28"/>
          <w:highlight w:val="none"/>
        </w:rPr>
        <w:t>是否按照规定格式提供了投标函；</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② </w:t>
      </w:r>
      <w:r>
        <w:rPr>
          <w:rFonts w:hint="eastAsia" w:ascii="宋体" w:hAnsi="宋体" w:eastAsia="宋体" w:cs="宋体"/>
          <w:color w:val="auto"/>
          <w:kern w:val="0"/>
          <w:sz w:val="28"/>
          <w:szCs w:val="28"/>
          <w:highlight w:val="none"/>
        </w:rPr>
        <w:t>是否提供了符合招标文件要求的报价清单；</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③ </w:t>
      </w:r>
      <w:r>
        <w:rPr>
          <w:rFonts w:hint="eastAsia" w:ascii="宋体" w:hAnsi="宋体" w:eastAsia="宋体" w:cs="宋体"/>
          <w:color w:val="auto"/>
          <w:kern w:val="0"/>
          <w:sz w:val="28"/>
          <w:szCs w:val="28"/>
          <w:highlight w:val="none"/>
        </w:rPr>
        <w:t>是否按照规定格式提供了投标人法定代表人授权书；</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④ </w:t>
      </w:r>
      <w:r>
        <w:rPr>
          <w:rFonts w:hint="eastAsia" w:ascii="宋体" w:hAnsi="宋体" w:eastAsia="宋体" w:cs="宋体"/>
          <w:color w:val="auto"/>
          <w:kern w:val="0"/>
          <w:sz w:val="28"/>
          <w:szCs w:val="28"/>
          <w:highlight w:val="none"/>
        </w:rPr>
        <w:t>是否提供了法人营业执照（复印件）、</w:t>
      </w:r>
      <w:r>
        <w:rPr>
          <w:rFonts w:hint="eastAsia" w:ascii="宋体" w:hAnsi="宋体" w:eastAsia="宋体" w:cs="宋体"/>
          <w:color w:val="auto"/>
          <w:kern w:val="0"/>
          <w:sz w:val="28"/>
          <w:szCs w:val="28"/>
          <w:highlight w:val="none"/>
          <w:lang w:val="en-US" w:eastAsia="zh-CN"/>
        </w:rPr>
        <w:t>道路运输经营许可证</w:t>
      </w:r>
      <w:r>
        <w:rPr>
          <w:rFonts w:hint="eastAsia" w:ascii="宋体" w:hAnsi="宋体" w:eastAsia="宋体" w:cs="宋体"/>
          <w:color w:val="auto"/>
          <w:kern w:val="0"/>
          <w:sz w:val="28"/>
          <w:szCs w:val="28"/>
          <w:highlight w:val="none"/>
        </w:rPr>
        <w:t>（复印件）；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rPr>
        <w:t xml:space="preserve">⑤ </w:t>
      </w:r>
      <w:r>
        <w:rPr>
          <w:rFonts w:hint="eastAsia" w:ascii="宋体" w:hAnsi="宋体" w:eastAsia="宋体" w:cs="宋体"/>
          <w:color w:val="auto"/>
          <w:kern w:val="0"/>
          <w:sz w:val="28"/>
          <w:szCs w:val="28"/>
          <w:highlight w:val="none"/>
          <w:lang w:eastAsia="zh-CN"/>
        </w:rPr>
        <w:t>是否对商务条款提出了招标人不能接受的条件；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评分办法：</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商务部分满分80分。以所有投标人中的有效最低报价为评标基准值，得满分80分，其余投标人报价每高于评标基准值1%，扣1分，不足1％的，按照插入法计算得分。</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技术评审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eastAsia="zh-CN"/>
        </w:rPr>
        <w:t xml:space="preserve">）审查投标人是否根据招标文件的规定提供了技术文件，审核投标文件是否实质性地符合招标文件的要求，技术审查的主要内容为： </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运输单位的管理体系运行情况、管理机构设置情况、自有粉状物料运输车（或环保自卸车）保有量、车辆综合调度能力等。</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（2）评分办法：</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技术部分满分20分，具体评分办法见下表：</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default" w:ascii="宋体" w:hAnsi="宋体" w:eastAsia="宋体" w:cs="宋体"/>
          <w:color w:val="auto"/>
          <w:kern w:val="0"/>
          <w:sz w:val="28"/>
          <w:szCs w:val="28"/>
          <w:highlight w:val="none"/>
          <w:lang w:val="en-US" w:eastAsia="zh-CN"/>
        </w:rPr>
      </w:pPr>
    </w:p>
    <w:tbl>
      <w:tblPr>
        <w:tblStyle w:val="22"/>
        <w:tblW w:w="952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3060"/>
        <w:gridCol w:w="4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评分内容</w:t>
            </w:r>
          </w:p>
        </w:tc>
        <w:tc>
          <w:tcPr>
            <w:tcW w:w="444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评分细则</w:t>
            </w:r>
          </w:p>
        </w:tc>
        <w:tc>
          <w:tcPr>
            <w:tcW w:w="108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基准分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060"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有完整的调度管理机构</w:t>
            </w:r>
          </w:p>
        </w:tc>
        <w:tc>
          <w:tcPr>
            <w:tcW w:w="4440"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提供相关人员名单、文件等证明材料</w:t>
            </w:r>
          </w:p>
        </w:tc>
        <w:tc>
          <w:tcPr>
            <w:tcW w:w="1080"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3060"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自有粉状物料运输车（或环保自卸车）保有量</w:t>
            </w:r>
          </w:p>
        </w:tc>
        <w:tc>
          <w:tcPr>
            <w:tcW w:w="4440"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提供机动车登记证书及符合要求的保险证明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A档自有车辆10台以上得15分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B档自有车辆5-10台得10分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C档自有车辆5台及以下得5分</w:t>
            </w:r>
          </w:p>
        </w:tc>
        <w:tc>
          <w:tcPr>
            <w:tcW w:w="1080"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15分</w:t>
            </w:r>
          </w:p>
        </w:tc>
      </w:tr>
    </w:tbl>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重大偏差</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重大偏差是指对关键条文的偏离、保留或反对的条款，如接受将不能实现招标的目的，或将妨碍与满足招标文件要求的投标进行公平比较的偏差。投标文件有以下情况之一的属重大偏差：</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（1）未按招标文件规定签字、盖章的；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（2）无法定代表人出具授权委托书的（适用于授权代理人签署投标文件的情况）；</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（3）投标人与投标邀请函单位不一致的；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（4）未按招标文件规定填写关键内容，或关键内容字迹模糊、无法辨认的；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（5）投标人递交两份或多份内容不同的投标文件、或提供虚假资料、或串通投标的；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（6）出现招标人不能接受的条款和要求的，如付款条件、减少或减轻投标人的责任和义务的；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（7）如果投标人不接受经评审委员会按报价评审的规定对其修正后的报价的；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（8）投标有效期不满足招标文件要求的；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（9）招标文件规定可以废标的其他情况。</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（3）投标人串通投标、以行贿手段谋取中标或者以其他弄虚作假方式投标的。</w:t>
      </w:r>
      <w:bookmarkStart w:id="11" w:name="_Toc248296427"/>
      <w:bookmarkStart w:id="12" w:name="_Toc227583049"/>
    </w:p>
    <w:bookmarkEnd w:id="11"/>
    <w:bookmarkEnd w:id="12"/>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bookmarkStart w:id="13" w:name="_Toc248296429"/>
      <w:bookmarkStart w:id="14" w:name="_Toc227583051"/>
      <w:r>
        <w:rPr>
          <w:rFonts w:hint="eastAsia" w:ascii="宋体" w:hAnsi="宋体" w:eastAsia="宋体" w:cs="宋体"/>
          <w:b/>
          <w:bCs/>
          <w:color w:val="auto"/>
          <w:sz w:val="28"/>
          <w:szCs w:val="28"/>
          <w:highlight w:val="none"/>
          <w:lang w:val="en-US" w:eastAsia="zh-CN"/>
        </w:rPr>
        <w:t>拒绝所有投标</w:t>
      </w:r>
      <w:bookmarkEnd w:id="13"/>
      <w:bookmarkEnd w:id="14"/>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（4）经评标委员会认定所有投标人串通投标损害招标人利益的。</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所有投标报价均超过招标人可以接受的价格时，招标人有权拒绝投标。</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p>
    <w:p>
      <w:pPr>
        <w:rPr>
          <w:rFonts w:hint="eastAsia" w:ascii="Arial" w:hAnsi="Arial" w:eastAsia="宋体" w:cs="宋体"/>
          <w:b/>
          <w:bCs/>
          <w:color w:val="auto"/>
          <w:kern w:val="2"/>
          <w:sz w:val="44"/>
          <w:szCs w:val="44"/>
          <w:highlight w:val="none"/>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Arial" w:hAnsi="Arial" w:eastAsia="宋体" w:cs="宋体"/>
          <w:b/>
          <w:bCs/>
          <w:color w:val="auto"/>
          <w:kern w:val="2"/>
          <w:sz w:val="44"/>
          <w:szCs w:val="44"/>
          <w:highlight w:val="none"/>
          <w:lang w:val="en-US" w:eastAsia="zh-CN"/>
        </w:rPr>
        <w:t>合同主要条款</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1、车辆型号：罐式粉状物料运输车（或环保自卸车），额定载重量不低于30吨；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bidi="ar"/>
        </w:rPr>
        <w:t>5、驾驶员必须持证上岗，无重大运输违法记录。</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1、货物名称：***</w:t>
      </w:r>
      <w:r>
        <w:rPr>
          <w:rFonts w:hint="eastAsia"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2、货物性质：细度</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，堆积密度</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lang w:val="en-US" w:eastAsia="zh-CN"/>
        </w:rPr>
        <w:t>含水率</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3、货物运输要求：运输及泵送过程中保证密封，不得接触水等其他物料；</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甲方将部分</w:t>
      </w:r>
      <w:r>
        <w:rPr>
          <w:rFonts w:hint="eastAsia" w:ascii="宋体" w:hAnsi="宋体" w:eastAsia="宋体" w:cs="宋体"/>
          <w:color w:val="auto"/>
          <w:sz w:val="28"/>
          <w:szCs w:val="28"/>
          <w:highlight w:val="none"/>
          <w:lang w:eastAsia="zh-CN"/>
        </w:rPr>
        <w:t>原材料</w:t>
      </w:r>
      <w:r>
        <w:rPr>
          <w:rFonts w:hint="eastAsia" w:ascii="宋体" w:hAnsi="宋体" w:eastAsia="宋体" w:cs="宋体"/>
          <w:color w:val="auto"/>
          <w:sz w:val="28"/>
          <w:szCs w:val="28"/>
          <w:highlight w:val="none"/>
        </w:rPr>
        <w:t>运输发包给乙方,由乙方承包运输,乙方负责从甲方指定地点装车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运输到甲方</w:t>
      </w:r>
      <w:r>
        <w:rPr>
          <w:rFonts w:hint="eastAsia" w:ascii="宋体" w:hAnsi="宋体" w:eastAsia="宋体" w:cs="宋体"/>
          <w:color w:val="auto"/>
          <w:sz w:val="28"/>
          <w:szCs w:val="28"/>
          <w:highlight w:val="none"/>
          <w:lang w:eastAsia="zh-CN"/>
        </w:rPr>
        <w:t>厂区，</w:t>
      </w:r>
      <w:r>
        <w:rPr>
          <w:rFonts w:hint="eastAsia" w:ascii="宋体" w:hAnsi="宋体" w:eastAsia="宋体" w:cs="宋体"/>
          <w:color w:val="auto"/>
          <w:sz w:val="28"/>
          <w:szCs w:val="28"/>
          <w:highlight w:val="none"/>
          <w:lang w:val="en-US" w:eastAsia="zh-CN"/>
        </w:rPr>
        <w:t>并</w:t>
      </w:r>
      <w:r>
        <w:rPr>
          <w:rFonts w:hint="eastAsia" w:ascii="宋体" w:hAnsi="宋体" w:eastAsia="宋体" w:cs="宋体"/>
          <w:color w:val="auto"/>
          <w:sz w:val="28"/>
          <w:szCs w:val="28"/>
          <w:highlight w:val="none"/>
        </w:rPr>
        <w:t>卸货</w:t>
      </w:r>
      <w:r>
        <w:rPr>
          <w:rFonts w:hint="eastAsia" w:ascii="宋体" w:hAnsi="宋体" w:eastAsia="宋体" w:cs="宋体"/>
          <w:color w:val="auto"/>
          <w:sz w:val="28"/>
          <w:szCs w:val="28"/>
          <w:highlight w:val="none"/>
          <w:lang w:val="en-US" w:eastAsia="zh-CN"/>
        </w:rPr>
        <w:t>至指定料仓</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lang w:val="en-US" w:eastAsia="zh-CN"/>
        </w:rPr>
        <w:t>起点：</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lang w:val="en-US" w:eastAsia="zh-CN"/>
        </w:rPr>
        <w:t>终点：</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运输量：</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single"/>
          <w:lang w:val="en-US" w:eastAsia="zh-CN"/>
        </w:rPr>
        <w:t xml:space="preserve">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highlight w:val="none"/>
          <w:u w:val="single"/>
          <w:lang w:val="en-US"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运输价格：</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运输起点</w:t>
            </w:r>
          </w:p>
        </w:tc>
        <w:tc>
          <w:tcPr>
            <w:tcW w:w="29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运输终点</w:t>
            </w:r>
          </w:p>
        </w:tc>
        <w:tc>
          <w:tcPr>
            <w:tcW w:w="35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含税</w:t>
            </w:r>
            <w:r>
              <w:rPr>
                <w:rFonts w:hint="eastAsia" w:ascii="宋体" w:hAnsi="宋体" w:eastAsia="宋体" w:cs="宋体"/>
                <w:color w:val="auto"/>
                <w:sz w:val="28"/>
                <w:szCs w:val="28"/>
                <w:highlight w:val="none"/>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highlight w:val="none"/>
              </w:rPr>
            </w:pPr>
          </w:p>
        </w:tc>
        <w:tc>
          <w:tcPr>
            <w:tcW w:w="29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甲方仓库</w:t>
            </w:r>
          </w:p>
        </w:tc>
        <w:tc>
          <w:tcPr>
            <w:tcW w:w="35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注：以上单价含9%增值税，如遇税率调整，按税前单价调整执行。</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货物的计量与损耗：</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计量：乙方车辆进出甲方指定地点厂区时过磅计货物净重，完成全部承运货物的足额卸货，并在进出甲方终点厂区过磅及货物净重。以甲方磅单数量结算运费。</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损耗：乙方需足额完成卸货，并避免装、运、卸过程中不必要的货物损失，损耗率需控制在</w:t>
      </w:r>
      <w:r>
        <w:rPr>
          <w:rFonts w:hint="eastAsia" w:ascii="宋体" w:hAnsi="宋体" w:eastAsia="宋体" w:cs="宋体"/>
          <w:color w:val="auto"/>
          <w:sz w:val="28"/>
          <w:szCs w:val="28"/>
          <w:highlight w:val="none"/>
          <w:u w:val="single"/>
          <w:lang w:val="en-US" w:eastAsia="zh-CN"/>
        </w:rPr>
        <w:t xml:space="preserve"> 2‰ </w:t>
      </w:r>
      <w:r>
        <w:rPr>
          <w:rFonts w:hint="eastAsia" w:ascii="宋体" w:hAnsi="宋体" w:eastAsia="宋体" w:cs="宋体"/>
          <w:color w:val="auto"/>
          <w:sz w:val="28"/>
          <w:szCs w:val="28"/>
          <w:highlight w:val="none"/>
          <w:u w:val="none"/>
          <w:lang w:val="en-US" w:eastAsia="zh-CN"/>
        </w:rPr>
        <w:t>以内，超出部分的损耗由乙方承担，按甲方矿粉采购价格计算损失，自乙方当月运输费中扣除。</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1、运输费</w:t>
      </w:r>
      <w:r>
        <w:rPr>
          <w:rFonts w:hint="eastAsia" w:ascii="宋体" w:hAnsi="宋体" w:eastAsia="宋体" w:cs="宋体"/>
          <w:color w:val="auto"/>
          <w:sz w:val="28"/>
          <w:szCs w:val="28"/>
          <w:highlight w:val="none"/>
          <w:lang w:val="en-US" w:eastAsia="zh-CN"/>
        </w:rPr>
        <w:t>结算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上月26日至当</w:t>
      </w:r>
      <w:r>
        <w:rPr>
          <w:rFonts w:hint="eastAsia" w:ascii="宋体" w:hAnsi="宋体" w:eastAsia="宋体" w:cs="宋体"/>
          <w:color w:val="auto"/>
          <w:sz w:val="28"/>
          <w:szCs w:val="28"/>
          <w:highlight w:val="none"/>
        </w:rPr>
        <w:t>月2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为一个结算周期</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乙方应在每月26日提供当月结算清单（附出厂磅单和甲方磅单）至甲方物资部门，配合甲方工作人员完成结算审核。审核后，乙方依据结算单在当月30日前开注增值税专用发票交甲方物资部门，由甲方物资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strike/>
          <w:dstrike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2、运输费支付：甲方按入账金额在次月支付</w:t>
      </w:r>
      <w:r>
        <w:rPr>
          <w:rFonts w:hint="eastAsia" w:ascii="宋体" w:hAnsi="宋体" w:eastAsia="宋体" w:cs="宋体"/>
          <w:color w:val="auto"/>
          <w:sz w:val="28"/>
          <w:szCs w:val="28"/>
          <w:highlight w:val="none"/>
          <w:u w:val="single"/>
          <w:lang w:val="en-US" w:eastAsia="zh-CN"/>
        </w:rPr>
        <w:t xml:space="preserve"> 70% </w:t>
      </w:r>
      <w:r>
        <w:rPr>
          <w:rFonts w:hint="eastAsia" w:ascii="宋体" w:hAnsi="宋体" w:eastAsia="宋体" w:cs="宋体"/>
          <w:color w:val="auto"/>
          <w:sz w:val="28"/>
          <w:szCs w:val="28"/>
          <w:highlight w:val="none"/>
          <w:u w:val="none"/>
          <w:lang w:val="en-US" w:eastAsia="zh-CN"/>
        </w:rPr>
        <w:t>，年底付至</w:t>
      </w:r>
      <w:r>
        <w:rPr>
          <w:rFonts w:hint="eastAsia" w:ascii="宋体" w:hAnsi="宋体" w:eastAsia="宋体" w:cs="宋体"/>
          <w:color w:val="auto"/>
          <w:sz w:val="28"/>
          <w:szCs w:val="28"/>
          <w:highlight w:val="none"/>
          <w:u w:val="single"/>
          <w:lang w:val="en-US" w:eastAsia="zh-CN"/>
        </w:rPr>
        <w:t xml:space="preserve"> 90% </w:t>
      </w:r>
      <w:r>
        <w:rPr>
          <w:rFonts w:hint="eastAsia" w:ascii="宋体" w:hAnsi="宋体" w:eastAsia="宋体" w:cs="宋体"/>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w:t>
      </w:r>
      <w:r>
        <w:rPr>
          <w:rFonts w:hint="eastAsia" w:ascii="宋体" w:hAnsi="宋体" w:eastAsia="宋体" w:cs="宋体"/>
          <w:color w:val="auto"/>
          <w:sz w:val="28"/>
          <w:szCs w:val="28"/>
          <w:highlight w:val="none"/>
          <w:lang w:val="en-US" w:eastAsia="zh-CN"/>
        </w:rPr>
        <w:t>应按时提供当月全额结算单，不得遗漏出厂磅单和甲方磅单。如乙方</w:t>
      </w:r>
      <w:r>
        <w:rPr>
          <w:rFonts w:hint="eastAsia" w:ascii="宋体" w:hAnsi="宋体" w:eastAsia="宋体" w:cs="宋体"/>
          <w:color w:val="auto"/>
          <w:sz w:val="28"/>
          <w:szCs w:val="28"/>
          <w:highlight w:val="none"/>
        </w:rPr>
        <w:t>未能在月底前提供</w:t>
      </w:r>
      <w:r>
        <w:rPr>
          <w:rFonts w:hint="eastAsia" w:ascii="宋体" w:hAnsi="宋体" w:eastAsia="宋体" w:cs="宋体"/>
          <w:color w:val="auto"/>
          <w:sz w:val="28"/>
          <w:szCs w:val="28"/>
          <w:highlight w:val="none"/>
          <w:lang w:val="en-US" w:eastAsia="zh-CN"/>
        </w:rPr>
        <w:t>当月</w:t>
      </w:r>
      <w:r>
        <w:rPr>
          <w:rFonts w:hint="eastAsia" w:ascii="宋体" w:hAnsi="宋体" w:eastAsia="宋体" w:cs="宋体"/>
          <w:color w:val="auto"/>
          <w:sz w:val="28"/>
          <w:szCs w:val="28"/>
          <w:highlight w:val="none"/>
        </w:rPr>
        <w:t>运输</w:t>
      </w:r>
      <w:r>
        <w:rPr>
          <w:rFonts w:hint="eastAsia" w:ascii="宋体" w:hAnsi="宋体" w:eastAsia="宋体" w:cs="宋体"/>
          <w:color w:val="auto"/>
          <w:sz w:val="28"/>
          <w:szCs w:val="28"/>
          <w:highlight w:val="none"/>
          <w:lang w:val="en-US" w:eastAsia="zh-CN"/>
        </w:rPr>
        <w:t>结算单</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则</w:t>
      </w:r>
      <w:r>
        <w:rPr>
          <w:rFonts w:hint="eastAsia" w:ascii="宋体" w:hAnsi="宋体" w:eastAsia="宋体" w:cs="宋体"/>
          <w:color w:val="auto"/>
          <w:sz w:val="28"/>
          <w:szCs w:val="28"/>
          <w:highlight w:val="none"/>
        </w:rPr>
        <w:t>延期至下月办理,付款亦顺延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同时罚款</w:t>
      </w:r>
      <w:r>
        <w:rPr>
          <w:rFonts w:hint="eastAsia" w:ascii="宋体" w:hAnsi="宋体" w:eastAsia="宋体" w:cs="宋体"/>
          <w:color w:val="auto"/>
          <w:sz w:val="28"/>
          <w:szCs w:val="28"/>
          <w:highlight w:val="none"/>
          <w:u w:val="single"/>
          <w:lang w:val="en-US" w:eastAsia="zh-CN"/>
        </w:rPr>
        <w:t xml:space="preserve"> 2000元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如由乙方原因造成漏单，次月补办时甲方有权扣除所漏磅单运输费的</w:t>
      </w:r>
      <w:r>
        <w:rPr>
          <w:rFonts w:hint="eastAsia" w:ascii="宋体" w:hAnsi="宋体" w:eastAsia="宋体" w:cs="宋体"/>
          <w:color w:val="auto"/>
          <w:sz w:val="28"/>
          <w:szCs w:val="28"/>
          <w:highlight w:val="none"/>
          <w:u w:val="single"/>
          <w:lang w:val="en-US" w:eastAsia="zh-CN"/>
        </w:rPr>
        <w:t xml:space="preserve"> 20% </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无回单（运输联）或签收不符合要求不予结算运费。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名称：铜陵铜冠建安新型环保建材科技有限公司；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纳税人识别号：91340700090790738A；</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地址、电话：安徽省铜陵市经济技术开发区、0562-5861530；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开户行及账号：中国银行铜陵分行义安支行179725225176。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收款单位名称：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纳税人识别号：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地址、电话：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w:t>
      </w:r>
      <w:r>
        <w:rPr>
          <w:rFonts w:hint="eastAsia" w:ascii="宋体" w:hAnsi="宋体" w:eastAsia="宋体" w:cs="宋体"/>
          <w:color w:val="auto"/>
          <w:sz w:val="28"/>
          <w:szCs w:val="28"/>
          <w:highlight w:val="none"/>
        </w:rPr>
        <w:t>户行及账号：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、甲方应</w:t>
      </w:r>
      <w:r>
        <w:rPr>
          <w:rFonts w:hint="eastAsia" w:ascii="宋体" w:hAnsi="宋体" w:eastAsia="宋体" w:cs="宋体"/>
          <w:color w:val="auto"/>
          <w:sz w:val="28"/>
          <w:szCs w:val="28"/>
          <w:highlight w:val="none"/>
          <w:lang w:val="en-US" w:eastAsia="zh-CN"/>
        </w:rPr>
        <w:t>在每天下午16:00前报送次日的需求计划，以便乙方及时安排运输车辆。</w:t>
      </w:r>
      <w:r>
        <w:rPr>
          <w:rFonts w:hint="eastAsia" w:ascii="宋体" w:hAnsi="宋体" w:eastAsia="宋体" w:cs="宋体"/>
          <w:color w:val="auto"/>
          <w:sz w:val="28"/>
          <w:szCs w:val="28"/>
          <w:highlight w:val="none"/>
        </w:rPr>
        <w:t xml:space="preserve">                              </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1、乙方负责提供充足的车辆资源,运输车辆的车型、车况应符合甲方货物运输、卸货的要求,并保证货物按甲方约定的时间将货物安全送达。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2、乙方承运司机和车辆应证件齐全</w:t>
      </w:r>
      <w:r>
        <w:rPr>
          <w:rFonts w:hint="eastAsia" w:ascii="宋体" w:hAnsi="宋体" w:cs="宋体"/>
          <w:color w:val="auto"/>
          <w:sz w:val="28"/>
          <w:szCs w:val="28"/>
          <w:highlight w:val="none"/>
          <w:lang w:eastAsia="zh-CN"/>
        </w:rPr>
        <w:t>，持证上岗</w:t>
      </w:r>
      <w:r>
        <w:rPr>
          <w:rFonts w:hint="eastAsia" w:ascii="宋体" w:hAnsi="宋体" w:eastAsia="宋体" w:cs="宋体"/>
          <w:color w:val="auto"/>
          <w:sz w:val="28"/>
          <w:szCs w:val="28"/>
          <w:highlight w:val="none"/>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3、甲方发出</w:t>
      </w:r>
      <w:r>
        <w:rPr>
          <w:rFonts w:hint="eastAsia" w:ascii="宋体" w:hAnsi="宋体" w:cs="宋体"/>
          <w:color w:val="auto"/>
          <w:sz w:val="28"/>
          <w:szCs w:val="28"/>
          <w:highlight w:val="none"/>
          <w:lang w:val="en-US" w:eastAsia="zh-CN"/>
        </w:rPr>
        <w:t>运输</w:t>
      </w:r>
      <w:r>
        <w:rPr>
          <w:rFonts w:hint="eastAsia" w:ascii="宋体" w:hAnsi="宋体" w:eastAsia="宋体" w:cs="宋体"/>
          <w:color w:val="auto"/>
          <w:sz w:val="28"/>
          <w:szCs w:val="28"/>
          <w:highlight w:val="none"/>
        </w:rPr>
        <w:t>指令</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小时内,乙方车辆必须到</w:t>
      </w:r>
      <w:r>
        <w:rPr>
          <w:rFonts w:hint="eastAsia" w:ascii="宋体" w:hAnsi="宋体" w:eastAsia="宋体" w:cs="宋体"/>
          <w:color w:val="auto"/>
          <w:sz w:val="28"/>
          <w:szCs w:val="28"/>
          <w:highlight w:val="none"/>
          <w:lang w:eastAsia="zh-CN"/>
        </w:rPr>
        <w:t>甲方指定厂区</w:t>
      </w:r>
      <w:r>
        <w:rPr>
          <w:rFonts w:hint="eastAsia" w:ascii="宋体" w:hAnsi="宋体" w:eastAsia="宋体" w:cs="宋体"/>
          <w:color w:val="auto"/>
          <w:sz w:val="28"/>
          <w:szCs w:val="28"/>
          <w:highlight w:val="none"/>
        </w:rPr>
        <w:t>装货,杜绝拒单现象。每延误一次装货，对乙方</w:t>
      </w:r>
      <w:r>
        <w:rPr>
          <w:rFonts w:hint="eastAsia" w:ascii="宋体" w:hAnsi="宋体" w:eastAsia="宋体" w:cs="宋体"/>
          <w:color w:val="auto"/>
          <w:sz w:val="28"/>
          <w:szCs w:val="28"/>
          <w:highlight w:val="none"/>
          <w:lang w:val="en-US" w:eastAsia="zh-CN"/>
        </w:rPr>
        <w:t>罚款</w:t>
      </w:r>
      <w:r>
        <w:rPr>
          <w:rFonts w:hint="eastAsia" w:ascii="宋体" w:hAnsi="宋体" w:eastAsia="宋体" w:cs="宋体"/>
          <w:color w:val="auto"/>
          <w:sz w:val="28"/>
          <w:szCs w:val="28"/>
          <w:highlight w:val="none"/>
        </w:rPr>
        <w:t>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4、乙方在装车前应对所装货物的品种、数量等进行认真确认。</w:t>
      </w:r>
      <w:r>
        <w:rPr>
          <w:rFonts w:hint="eastAsia" w:ascii="宋体" w:hAnsi="宋体" w:eastAsia="宋体" w:cs="宋体"/>
          <w:color w:val="auto"/>
          <w:sz w:val="28"/>
          <w:szCs w:val="28"/>
          <w:highlight w:val="none"/>
          <w:lang w:eastAsia="zh-CN"/>
        </w:rPr>
        <w:t>并取得货物出厂检验报告。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5、货物从装车后直到货物交付甲方</w:t>
      </w:r>
      <w:r>
        <w:rPr>
          <w:rFonts w:hint="eastAsia" w:ascii="宋体" w:hAnsi="宋体" w:eastAsia="宋体" w:cs="宋体"/>
          <w:color w:val="auto"/>
          <w:sz w:val="28"/>
          <w:szCs w:val="28"/>
          <w:highlight w:val="none"/>
          <w:lang w:eastAsia="zh-CN"/>
        </w:rPr>
        <w:t>料仓</w:t>
      </w:r>
      <w:r>
        <w:rPr>
          <w:rFonts w:hint="eastAsia" w:ascii="宋体" w:hAnsi="宋体" w:eastAsia="宋体" w:cs="宋体"/>
          <w:color w:val="auto"/>
          <w:sz w:val="28"/>
          <w:szCs w:val="28"/>
          <w:highlight w:val="none"/>
        </w:rPr>
        <w:t>前,乙方承担货物的安全保管及承运责任,发生的损毁、丢失、残损、交货不清、短缺等由此导致的损失均由乙方负责赔偿。乙方在合同期内不得因外部因素(人力、燃油、交通交警等)影响改变合同价格。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6、乙方必须严格按照</w:t>
      </w:r>
      <w:r>
        <w:rPr>
          <w:rFonts w:hint="eastAsia" w:ascii="宋体" w:hAnsi="宋体" w:eastAsia="宋体" w:cs="宋体"/>
          <w:color w:val="auto"/>
          <w:sz w:val="28"/>
          <w:szCs w:val="28"/>
          <w:highlight w:val="none"/>
          <w:lang w:eastAsia="zh-CN"/>
        </w:rPr>
        <w:t>甲方指定提货厂区的管理规章制度完成提货流程</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因乙方原因导致的任何损失由乙方</w:t>
      </w:r>
      <w:r>
        <w:rPr>
          <w:rFonts w:hint="eastAsia" w:ascii="宋体" w:hAnsi="宋体" w:eastAsia="宋体" w:cs="宋体"/>
          <w:color w:val="auto"/>
          <w:sz w:val="28"/>
          <w:szCs w:val="28"/>
          <w:highlight w:val="none"/>
        </w:rPr>
        <w:t>负责赔偿。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7、乙方必须严格按照</w:t>
      </w:r>
      <w:r>
        <w:rPr>
          <w:rFonts w:hint="eastAsia" w:ascii="宋体" w:hAnsi="宋体" w:eastAsia="宋体" w:cs="宋体"/>
          <w:color w:val="auto"/>
          <w:sz w:val="28"/>
          <w:szCs w:val="28"/>
          <w:highlight w:val="none"/>
          <w:lang w:eastAsia="zh-CN"/>
        </w:rPr>
        <w:t>甲方厂区的管理规章制度完成卸货流程</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因乙方原因导致的任何损失由乙方</w:t>
      </w:r>
      <w:r>
        <w:rPr>
          <w:rFonts w:hint="eastAsia" w:ascii="宋体" w:hAnsi="宋体" w:eastAsia="宋体" w:cs="宋体"/>
          <w:color w:val="auto"/>
          <w:sz w:val="28"/>
          <w:szCs w:val="28"/>
          <w:highlight w:val="none"/>
        </w:rPr>
        <w:t>负责赔偿。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8、乙方所派遣司机必须严格遵守交通法规及有关车辆行驶规章制度,乙方承担合同期车辆、人员交通安全责任。因运输和卸货发生意外,其损害后果、法律责任和经济损失均由乙方承担。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9、乙方在合同期内,必须服从甲方管理、工作安排</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乙方在装卸粉料时，</w:t>
      </w:r>
      <w:r>
        <w:rPr>
          <w:rFonts w:hint="eastAsia" w:ascii="宋体" w:hAnsi="宋体" w:eastAsia="宋体" w:cs="宋体"/>
          <w:color w:val="auto"/>
          <w:sz w:val="28"/>
          <w:szCs w:val="28"/>
          <w:highlight w:val="none"/>
          <w:lang w:val="en-US" w:eastAsia="zh-CN"/>
        </w:rPr>
        <w:t>应</w:t>
      </w:r>
      <w:r>
        <w:rPr>
          <w:rFonts w:hint="eastAsia" w:ascii="宋体" w:hAnsi="宋体" w:eastAsia="宋体" w:cs="宋体"/>
          <w:color w:val="auto"/>
          <w:sz w:val="28"/>
          <w:szCs w:val="28"/>
          <w:highlight w:val="none"/>
        </w:rPr>
        <w:t>严格遵守操作规程，防止粉尘污染，确保符合国家环保标准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由乙方操作不当造成货物损毁或环境污染，乙方应全额赔偿</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乙方需安排专人与</w:t>
      </w:r>
      <w:r>
        <w:rPr>
          <w:rFonts w:hint="eastAsia" w:ascii="宋体" w:hAnsi="宋体" w:eastAsia="宋体" w:cs="宋体"/>
          <w:color w:val="auto"/>
          <w:sz w:val="28"/>
          <w:szCs w:val="28"/>
          <w:highlight w:val="none"/>
          <w:lang w:val="en-US" w:eastAsia="zh-CN"/>
        </w:rPr>
        <w:t>甲方物资部门</w:t>
      </w:r>
      <w:r>
        <w:rPr>
          <w:rFonts w:hint="eastAsia" w:ascii="宋体" w:hAnsi="宋体" w:eastAsia="宋体" w:cs="宋体"/>
          <w:color w:val="auto"/>
          <w:sz w:val="28"/>
          <w:szCs w:val="28"/>
          <w:highlight w:val="none"/>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乙方车辆进入甲方厂区及周边区域内，受甲方管理规定约束。乙方车辆进入提货厂区及周边区域内，受提货终点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lang w:val="en-US" w:eastAsia="zh-CN"/>
        </w:rPr>
        <w:t>13、乙方必须使用自有车辆运输胶凝材料，车辆必须在甲方备案。如需使用第三方车辆，须经甲方同意。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、乙方应按时足额支付乙方职工及业务单位等第三方关联人员的工资、费用等，由此引起的账务纠纷与甲方无关。</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履约保证金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1、为保证合同的严格履行,在本合同签定后7天内,乙方向甲方缴纳履约风险保证金人民币壹拾万元整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¥100000.00</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2、履约风险保证金在合同终止且双方结算完毕后无息返还。</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2、甲、乙双方任何一方如违反本合同约定,对方均有权解除合同,造成对方经济损失的，由违约方负责赔偿。</w:t>
      </w:r>
    </w:p>
    <w:p>
      <w:pPr>
        <w:rPr>
          <w:rFonts w:hint="eastAsia"/>
          <w:color w:val="auto"/>
          <w:highlight w:val="none"/>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highlight w:val="none"/>
          <w:lang w:val="en-US" w:eastAsia="zh-CN"/>
        </w:rPr>
      </w:pPr>
    </w:p>
    <w:p>
      <w:pPr>
        <w:rPr>
          <w:rFonts w:hint="eastAsia" w:ascii="Arial" w:hAnsi="Arial" w:eastAsia="宋体" w:cs="宋体"/>
          <w:b/>
          <w:bCs/>
          <w:color w:val="auto"/>
          <w:kern w:val="2"/>
          <w:sz w:val="44"/>
          <w:szCs w:val="44"/>
          <w:highlight w:val="none"/>
          <w:lang w:val="en-US" w:eastAsia="zh-CN"/>
        </w:rPr>
      </w:pPr>
    </w:p>
    <w:p>
      <w:pPr>
        <w:rPr>
          <w:rFonts w:hint="eastAsia" w:ascii="Arial" w:hAnsi="Arial" w:eastAsia="宋体" w:cs="宋体"/>
          <w:b/>
          <w:bCs/>
          <w:color w:val="auto"/>
          <w:kern w:val="2"/>
          <w:sz w:val="44"/>
          <w:szCs w:val="44"/>
          <w:highlight w:val="none"/>
          <w:lang w:val="en-US" w:eastAsia="zh-CN"/>
        </w:rPr>
      </w:pPr>
    </w:p>
    <w:p>
      <w:pPr>
        <w:rPr>
          <w:rFonts w:hint="eastAsia" w:ascii="Arial" w:hAnsi="Arial" w:eastAsia="宋体" w:cs="宋体"/>
          <w:b/>
          <w:bCs/>
          <w:color w:val="auto"/>
          <w:kern w:val="2"/>
          <w:sz w:val="44"/>
          <w:szCs w:val="44"/>
          <w:highlight w:val="none"/>
          <w:lang w:val="en-US" w:eastAsia="zh-CN"/>
        </w:rPr>
      </w:pPr>
    </w:p>
    <w:p>
      <w:pPr>
        <w:rPr>
          <w:rFonts w:hint="eastAsia" w:ascii="Arial" w:hAnsi="Arial" w:eastAsia="宋体" w:cs="宋体"/>
          <w:b/>
          <w:bCs/>
          <w:color w:val="auto"/>
          <w:kern w:val="2"/>
          <w:sz w:val="44"/>
          <w:szCs w:val="44"/>
          <w:highlight w:val="none"/>
          <w:lang w:val="en-US" w:eastAsia="zh-CN"/>
        </w:rPr>
      </w:pPr>
    </w:p>
    <w:p>
      <w:pPr>
        <w:rPr>
          <w:rFonts w:hint="eastAsia" w:ascii="Arial" w:hAnsi="Arial" w:eastAsia="宋体" w:cs="宋体"/>
          <w:b/>
          <w:bCs/>
          <w:color w:val="auto"/>
          <w:kern w:val="2"/>
          <w:sz w:val="44"/>
          <w:szCs w:val="44"/>
          <w:highlight w:val="none"/>
          <w:lang w:val="en-US" w:eastAsia="zh-CN"/>
        </w:rPr>
      </w:pPr>
    </w:p>
    <w:p>
      <w:pPr>
        <w:rPr>
          <w:rFonts w:hint="eastAsia" w:ascii="Arial" w:hAnsi="Arial" w:eastAsia="宋体" w:cs="宋体"/>
          <w:b/>
          <w:bCs/>
          <w:color w:val="auto"/>
          <w:kern w:val="2"/>
          <w:sz w:val="44"/>
          <w:szCs w:val="44"/>
          <w:highlight w:val="none"/>
          <w:lang w:val="en-US" w:eastAsia="zh-CN"/>
        </w:rPr>
      </w:pPr>
    </w:p>
    <w:p>
      <w:pPr>
        <w:rPr>
          <w:rFonts w:hint="eastAsia" w:ascii="Arial" w:hAnsi="Arial" w:eastAsia="宋体" w:cs="宋体"/>
          <w:b/>
          <w:bCs/>
          <w:color w:val="auto"/>
          <w:kern w:val="2"/>
          <w:sz w:val="44"/>
          <w:szCs w:val="44"/>
          <w:highlight w:val="none"/>
          <w:lang w:val="en-US" w:eastAsia="zh-CN"/>
        </w:rPr>
      </w:pPr>
    </w:p>
    <w:p>
      <w:pPr>
        <w:rPr>
          <w:rFonts w:hint="eastAsia" w:ascii="Arial" w:hAnsi="Arial" w:eastAsia="宋体" w:cs="宋体"/>
          <w:b/>
          <w:bCs/>
          <w:color w:val="auto"/>
          <w:kern w:val="2"/>
          <w:sz w:val="44"/>
          <w:szCs w:val="44"/>
          <w:highlight w:val="none"/>
          <w:lang w:val="en-US" w:eastAsia="zh-CN"/>
        </w:rPr>
      </w:pPr>
    </w:p>
    <w:p>
      <w:pPr>
        <w:rPr>
          <w:rFonts w:hint="eastAsia" w:ascii="Arial" w:hAnsi="Arial" w:eastAsia="宋体" w:cs="宋体"/>
          <w:b/>
          <w:bCs/>
          <w:color w:val="auto"/>
          <w:kern w:val="2"/>
          <w:sz w:val="44"/>
          <w:szCs w:val="44"/>
          <w:highlight w:val="none"/>
          <w:lang w:val="en-US" w:eastAsia="zh-CN"/>
        </w:rPr>
      </w:pPr>
    </w:p>
    <w:p>
      <w:pPr>
        <w:rPr>
          <w:rFonts w:hint="eastAsia" w:ascii="Arial" w:hAnsi="Arial" w:eastAsia="宋体" w:cs="宋体"/>
          <w:b/>
          <w:bCs/>
          <w:color w:val="auto"/>
          <w:kern w:val="2"/>
          <w:sz w:val="44"/>
          <w:szCs w:val="44"/>
          <w:highlight w:val="none"/>
          <w:lang w:val="en-US" w:eastAsia="zh-CN"/>
        </w:rPr>
      </w:pPr>
    </w:p>
    <w:p>
      <w:pPr>
        <w:rPr>
          <w:rFonts w:hint="eastAsia" w:ascii="Arial" w:hAnsi="Arial" w:eastAsia="宋体" w:cs="宋体"/>
          <w:b/>
          <w:bCs/>
          <w:color w:val="auto"/>
          <w:kern w:val="2"/>
          <w:sz w:val="44"/>
          <w:szCs w:val="44"/>
          <w:highlight w:val="none"/>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Arial" w:hAnsi="Arial" w:eastAsia="宋体" w:cs="宋体"/>
          <w:b/>
          <w:bCs/>
          <w:color w:val="auto"/>
          <w:kern w:val="2"/>
          <w:sz w:val="44"/>
          <w:szCs w:val="44"/>
          <w:highlight w:val="none"/>
          <w:lang w:val="en-US" w:eastAsia="zh-CN"/>
        </w:rPr>
        <w:t xml:space="preserve"> 附件</w:t>
      </w:r>
    </w:p>
    <w:p>
      <w:pPr>
        <w:pStyle w:val="3"/>
        <w:pageBreakBefore w:val="0"/>
        <w:numPr>
          <w:ilvl w:val="0"/>
          <w:numId w:val="19"/>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 标 函（格式）</w:t>
      </w:r>
    </w:p>
    <w:p>
      <w:pPr>
        <w:numPr>
          <w:ilvl w:val="0"/>
          <w:numId w:val="0"/>
        </w:num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致：</w:t>
      </w:r>
      <w:r>
        <w:rPr>
          <w:rFonts w:hint="eastAsia" w:ascii="宋体" w:hAnsi="宋体" w:eastAsia="宋体" w:cs="宋体"/>
          <w:color w:val="auto"/>
          <w:kern w:val="0"/>
          <w:sz w:val="28"/>
          <w:szCs w:val="28"/>
          <w:highlight w:val="none"/>
          <w:u w:val="single"/>
          <w:lang w:val="en-US" w:eastAsia="zh-CN"/>
        </w:rPr>
        <w:t>铜陵铜冠建安新型环保建材科技</w:t>
      </w:r>
      <w:r>
        <w:rPr>
          <w:rFonts w:hint="eastAsia" w:ascii="宋体" w:hAnsi="宋体" w:eastAsia="宋体" w:cs="宋体"/>
          <w:color w:val="auto"/>
          <w:kern w:val="0"/>
          <w:sz w:val="28"/>
          <w:szCs w:val="28"/>
          <w:highlight w:val="none"/>
          <w:u w:val="single"/>
        </w:rPr>
        <w:t>有限公司</w:t>
      </w:r>
    </w:p>
    <w:p>
      <w:pPr>
        <w:pageBreakBefore w:val="0"/>
        <w:kinsoku/>
        <w:wordWrap/>
        <w:overflowPunct/>
        <w:topLinePunct w:val="0"/>
        <w:autoSpaceDE w:val="0"/>
        <w:autoSpaceDN w:val="0"/>
        <w:bidi w:val="0"/>
        <w:adjustRightInd/>
        <w:snapToGrid w:val="0"/>
        <w:spacing w:line="520" w:lineRule="exact"/>
        <w:ind w:left="279" w:leftChars="133" w:firstLine="400" w:firstLineChars="143"/>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根据贵方</w:t>
      </w:r>
      <w:r>
        <w:rPr>
          <w:rFonts w:hint="eastAsia" w:ascii="宋体" w:hAnsi="宋体" w:eastAsia="宋体" w:cs="宋体"/>
          <w:color w:val="auto"/>
          <w:kern w:val="0"/>
          <w:sz w:val="28"/>
          <w:szCs w:val="28"/>
          <w:highlight w:val="none"/>
          <w:u w:val="single"/>
          <w:lang w:val="en-US" w:eastAsia="zh-CN"/>
        </w:rPr>
        <w:t xml:space="preserve"> 2021年度</w:t>
      </w:r>
      <w:r>
        <w:rPr>
          <w:rFonts w:hint="eastAsia" w:ascii="宋体" w:hAnsi="宋体" w:eastAsia="宋体" w:cs="宋体"/>
          <w:color w:val="auto"/>
          <w:sz w:val="28"/>
          <w:szCs w:val="28"/>
          <w:highlight w:val="none"/>
          <w:u w:val="single"/>
          <w:lang w:val="en-US" w:eastAsia="zh-CN"/>
        </w:rPr>
        <w:t xml:space="preserve">原料运输业务 </w:t>
      </w:r>
      <w:r>
        <w:rPr>
          <w:rFonts w:hint="eastAsia" w:ascii="宋体" w:hAnsi="宋体" w:eastAsia="宋体" w:cs="宋体"/>
          <w:color w:val="auto"/>
          <w:kern w:val="0"/>
          <w:sz w:val="28"/>
          <w:szCs w:val="28"/>
          <w:highlight w:val="none"/>
        </w:rPr>
        <w:t>招标文件，正式授权的</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下述签字人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(姓名和职务)代表投标人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据此函，签字人兹宣布同意如下：</w:t>
      </w:r>
    </w:p>
    <w:p>
      <w:pPr>
        <w:pageBreakBefore w:val="0"/>
        <w:numPr>
          <w:ilvl w:val="0"/>
          <w:numId w:val="20"/>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按招标文件规定提供</w:t>
      </w:r>
      <w:r>
        <w:rPr>
          <w:rFonts w:hint="eastAsia" w:ascii="宋体" w:hAnsi="宋体" w:eastAsia="宋体" w:cs="宋体"/>
          <w:color w:val="auto"/>
          <w:kern w:val="0"/>
          <w:sz w:val="28"/>
          <w:szCs w:val="28"/>
          <w:highlight w:val="none"/>
          <w:lang w:val="en-US" w:eastAsia="zh-CN"/>
        </w:rPr>
        <w:t>本次招标内容</w:t>
      </w:r>
      <w:r>
        <w:rPr>
          <w:rFonts w:hint="eastAsia" w:ascii="宋体" w:hAnsi="宋体" w:eastAsia="宋体" w:cs="宋体"/>
          <w:color w:val="auto"/>
          <w:kern w:val="0"/>
          <w:sz w:val="28"/>
          <w:szCs w:val="28"/>
          <w:highlight w:val="none"/>
        </w:rPr>
        <w:t>的投标</w:t>
      </w:r>
      <w:r>
        <w:rPr>
          <w:rFonts w:hint="eastAsia" w:ascii="宋体" w:hAnsi="宋体" w:eastAsia="宋体" w:cs="宋体"/>
          <w:color w:val="auto"/>
          <w:kern w:val="0"/>
          <w:sz w:val="28"/>
          <w:szCs w:val="28"/>
          <w:highlight w:val="none"/>
          <w:lang w:val="en-US" w:eastAsia="zh-CN"/>
        </w:rPr>
        <w:t>报</w:t>
      </w:r>
      <w:r>
        <w:rPr>
          <w:rFonts w:hint="eastAsia" w:ascii="宋体" w:hAnsi="宋体" w:eastAsia="宋体" w:cs="宋体"/>
          <w:color w:val="auto"/>
          <w:kern w:val="0"/>
          <w:sz w:val="28"/>
          <w:szCs w:val="28"/>
          <w:highlight w:val="none"/>
        </w:rPr>
        <w:t>价（含增值税）</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本投标有效期为开标日起</w:t>
      </w:r>
      <w:r>
        <w:rPr>
          <w:rFonts w:hint="eastAsia" w:ascii="宋体" w:hAnsi="宋体" w:eastAsia="宋体" w:cs="宋体"/>
          <w:color w:val="auto"/>
          <w:kern w:val="0"/>
          <w:sz w:val="28"/>
          <w:szCs w:val="28"/>
          <w:highlight w:val="none"/>
          <w:u w:val="single"/>
        </w:rPr>
        <w:t xml:space="preserve"> 30 </w:t>
      </w:r>
      <w:r>
        <w:rPr>
          <w:rFonts w:hint="eastAsia" w:ascii="宋体" w:hAnsi="宋体" w:eastAsia="宋体" w:cs="宋体"/>
          <w:color w:val="auto"/>
          <w:kern w:val="0"/>
          <w:sz w:val="28"/>
          <w:szCs w:val="28"/>
          <w:highlight w:val="none"/>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法人代表或</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委托代理人：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日期：         年      月      日 </w:t>
      </w:r>
      <w:bookmarkStart w:id="15" w:name="_Toc184099450"/>
      <w:bookmarkStart w:id="16" w:name="_Toc184099505"/>
      <w:bookmarkStart w:id="17" w:name="_Toc184111941"/>
      <w:bookmarkStart w:id="18" w:name="_Toc184112530"/>
      <w:bookmarkStart w:id="19" w:name="_Toc184111766"/>
      <w:bookmarkStart w:id="20" w:name="_Toc184112332"/>
      <w:bookmarkStart w:id="21" w:name="_Toc5627"/>
      <w:bookmarkStart w:id="22" w:name="_Toc581"/>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lang w:val="en-US" w:eastAsia="zh-CN"/>
        </w:rPr>
      </w:pPr>
    </w:p>
    <w:p>
      <w:pPr>
        <w:pStyle w:val="4"/>
        <w:pageBreakBefore w:val="0"/>
        <w:numPr>
          <w:ilvl w:val="0"/>
          <w:numId w:val="19"/>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授权委托书（格式</w:t>
      </w:r>
      <w:bookmarkEnd w:id="15"/>
      <w:bookmarkEnd w:id="16"/>
      <w:bookmarkEnd w:id="17"/>
      <w:bookmarkEnd w:id="18"/>
      <w:bookmarkEnd w:id="19"/>
      <w:bookmarkEnd w:id="20"/>
      <w:r>
        <w:rPr>
          <w:rFonts w:hint="eastAsia" w:ascii="宋体" w:hAnsi="宋体" w:eastAsia="宋体" w:cs="宋体"/>
          <w:color w:val="auto"/>
          <w:sz w:val="28"/>
          <w:szCs w:val="28"/>
          <w:highlight w:val="none"/>
          <w:lang w:val="en-US" w:eastAsia="zh-CN"/>
        </w:rPr>
        <w:t>）</w:t>
      </w:r>
      <w:bookmarkEnd w:id="21"/>
      <w:bookmarkEnd w:id="22"/>
    </w:p>
    <w:p>
      <w:pPr>
        <w:numPr>
          <w:ilvl w:val="0"/>
          <w:numId w:val="0"/>
        </w:numPr>
        <w:ind w:leftChars="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致：</w:t>
      </w:r>
      <w:r>
        <w:rPr>
          <w:rFonts w:hint="eastAsia" w:ascii="宋体" w:hAnsi="宋体" w:eastAsia="宋体" w:cs="宋体"/>
          <w:color w:val="auto"/>
          <w:kern w:val="0"/>
          <w:sz w:val="28"/>
          <w:szCs w:val="28"/>
          <w:highlight w:val="none"/>
          <w:u w:val="single"/>
          <w:lang w:val="en-US" w:eastAsia="zh-CN"/>
        </w:rPr>
        <w:t>铜陵铜冠建安新型环保建材科技</w:t>
      </w:r>
      <w:r>
        <w:rPr>
          <w:rFonts w:hint="eastAsia" w:ascii="宋体" w:hAnsi="宋体" w:eastAsia="宋体" w:cs="宋体"/>
          <w:color w:val="auto"/>
          <w:kern w:val="0"/>
          <w:sz w:val="28"/>
          <w:szCs w:val="28"/>
          <w:highlight w:val="none"/>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（姓名）系</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（投标单位名称）的法定代表人，现授权委托</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（姓名）为我的委托代理人，以本公司的名义参加</w:t>
      </w:r>
      <w:r>
        <w:rPr>
          <w:rFonts w:hint="eastAsia" w:ascii="宋体" w:hAnsi="宋体" w:eastAsia="宋体" w:cs="宋体"/>
          <w:color w:val="auto"/>
          <w:kern w:val="0"/>
          <w:sz w:val="28"/>
          <w:szCs w:val="28"/>
          <w:highlight w:val="none"/>
          <w:lang w:val="en-US" w:eastAsia="zh-CN"/>
        </w:rPr>
        <w:t>贵</w:t>
      </w:r>
      <w:r>
        <w:rPr>
          <w:rFonts w:hint="eastAsia" w:ascii="宋体" w:hAnsi="宋体" w:eastAsia="宋体" w:cs="宋体"/>
          <w:color w:val="auto"/>
          <w:kern w:val="0"/>
          <w:sz w:val="28"/>
          <w:szCs w:val="28"/>
          <w:highlight w:val="none"/>
        </w:rPr>
        <w:t>公司的</w:t>
      </w:r>
      <w:r>
        <w:rPr>
          <w:rFonts w:hint="eastAsia" w:ascii="宋体" w:hAnsi="宋体" w:eastAsia="宋体" w:cs="宋体"/>
          <w:color w:val="auto"/>
          <w:kern w:val="0"/>
          <w:sz w:val="28"/>
          <w:szCs w:val="28"/>
          <w:highlight w:val="none"/>
          <w:u w:val="single"/>
          <w:lang w:val="en-US" w:eastAsia="zh-CN"/>
        </w:rPr>
        <w:t>2021年度</w:t>
      </w:r>
      <w:r>
        <w:rPr>
          <w:rFonts w:hint="eastAsia" w:ascii="宋体" w:hAnsi="宋体" w:eastAsia="宋体" w:cs="宋体"/>
          <w:color w:val="auto"/>
          <w:sz w:val="28"/>
          <w:szCs w:val="28"/>
          <w:highlight w:val="none"/>
          <w:u w:val="single"/>
          <w:lang w:val="en-US" w:eastAsia="zh-CN"/>
        </w:rPr>
        <w:t>原料运输业务</w:t>
      </w:r>
      <w:r>
        <w:rPr>
          <w:rFonts w:hint="eastAsia" w:ascii="宋体" w:hAnsi="宋体" w:eastAsia="宋体" w:cs="宋体"/>
          <w:color w:val="auto"/>
          <w:kern w:val="0"/>
          <w:sz w:val="28"/>
          <w:szCs w:val="28"/>
          <w:highlight w:val="none"/>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highlight w:val="none"/>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highlight w:val="none"/>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highlight w:val="none"/>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法人代表或</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委托代理人：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br w:type="page"/>
      </w:r>
      <w:bookmarkStart w:id="23" w:name="_Toc209779845"/>
      <w:bookmarkStart w:id="24" w:name="_Toc209780685"/>
      <w:bookmarkStart w:id="25" w:name="_Toc209780803"/>
      <w:bookmarkStart w:id="26" w:name="_Toc209780349"/>
      <w:bookmarkStart w:id="27" w:name="_Toc209779898"/>
      <w:bookmarkStart w:id="28" w:name="_Toc209780914"/>
      <w:bookmarkStart w:id="29" w:name="_Toc209781025"/>
      <w:r>
        <w:rPr>
          <w:rStyle w:val="38"/>
          <w:rFonts w:hint="eastAsia" w:ascii="宋体" w:hAnsi="宋体" w:eastAsia="宋体" w:cs="宋体"/>
          <w:color w:val="auto"/>
          <w:sz w:val="28"/>
          <w:szCs w:val="28"/>
          <w:highlight w:val="none"/>
        </w:rPr>
        <w:t>3、投标保证书</w:t>
      </w:r>
      <w:bookmarkEnd w:id="23"/>
      <w:bookmarkEnd w:id="24"/>
      <w:bookmarkEnd w:id="25"/>
      <w:bookmarkEnd w:id="26"/>
      <w:bookmarkEnd w:id="27"/>
      <w:bookmarkEnd w:id="28"/>
      <w:bookmarkEnd w:id="29"/>
      <w:r>
        <w:rPr>
          <w:rStyle w:val="38"/>
          <w:rFonts w:hint="eastAsia" w:ascii="宋体" w:hAnsi="宋体" w:eastAsia="宋体" w:cs="宋体"/>
          <w:color w:val="auto"/>
          <w:sz w:val="28"/>
          <w:szCs w:val="28"/>
          <w:highlight w:val="none"/>
        </w:rPr>
        <w:t>（格式）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highlight w:val="none"/>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致：</w:t>
      </w:r>
      <w:r>
        <w:rPr>
          <w:rFonts w:hint="eastAsia" w:ascii="宋体" w:hAnsi="宋体" w:eastAsia="宋体" w:cs="宋体"/>
          <w:color w:val="auto"/>
          <w:kern w:val="0"/>
          <w:sz w:val="28"/>
          <w:szCs w:val="28"/>
          <w:highlight w:val="none"/>
          <w:u w:val="single"/>
          <w:lang w:val="en-US" w:eastAsia="zh-CN"/>
        </w:rPr>
        <w:t>铜陵铜冠建安新型环保建材科技</w:t>
      </w:r>
      <w:r>
        <w:rPr>
          <w:rFonts w:hint="eastAsia" w:ascii="宋体" w:hAnsi="宋体" w:eastAsia="宋体" w:cs="宋体"/>
          <w:color w:val="auto"/>
          <w:kern w:val="0"/>
          <w:sz w:val="28"/>
          <w:szCs w:val="28"/>
          <w:highlight w:val="none"/>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在研究了</w:t>
      </w:r>
      <w:r>
        <w:rPr>
          <w:rFonts w:hint="eastAsia" w:ascii="宋体" w:hAnsi="宋体" w:eastAsia="宋体" w:cs="宋体"/>
          <w:color w:val="auto"/>
          <w:kern w:val="0"/>
          <w:sz w:val="28"/>
          <w:szCs w:val="28"/>
          <w:highlight w:val="none"/>
          <w:lang w:val="en-US" w:eastAsia="zh-CN"/>
        </w:rPr>
        <w:t>贵</w:t>
      </w:r>
      <w:r>
        <w:rPr>
          <w:rFonts w:hint="eastAsia" w:ascii="宋体" w:hAnsi="宋体" w:eastAsia="宋体" w:cs="宋体"/>
          <w:color w:val="auto"/>
          <w:kern w:val="0"/>
          <w:sz w:val="28"/>
          <w:szCs w:val="28"/>
          <w:highlight w:val="none"/>
        </w:rPr>
        <w:t>公司</w:t>
      </w:r>
      <w:r>
        <w:rPr>
          <w:rFonts w:hint="eastAsia" w:ascii="宋体" w:hAnsi="宋体" w:eastAsia="宋体" w:cs="宋体"/>
          <w:color w:val="auto"/>
          <w:kern w:val="0"/>
          <w:sz w:val="28"/>
          <w:szCs w:val="28"/>
          <w:highlight w:val="none"/>
          <w:u w:val="single"/>
          <w:lang w:val="en-US" w:eastAsia="zh-CN"/>
        </w:rPr>
        <w:t>2021年度</w:t>
      </w:r>
      <w:r>
        <w:rPr>
          <w:rFonts w:hint="eastAsia" w:ascii="宋体" w:hAnsi="宋体" w:eastAsia="宋体" w:cs="宋体"/>
          <w:color w:val="auto"/>
          <w:sz w:val="28"/>
          <w:szCs w:val="28"/>
          <w:highlight w:val="none"/>
          <w:u w:val="single"/>
          <w:lang w:val="en-US" w:eastAsia="zh-CN"/>
        </w:rPr>
        <w:t>原料运输业务</w:t>
      </w:r>
      <w:r>
        <w:rPr>
          <w:rFonts w:hint="eastAsia" w:ascii="宋体" w:hAnsi="宋体" w:eastAsia="宋体" w:cs="宋体"/>
          <w:color w:val="auto"/>
          <w:kern w:val="0"/>
          <w:sz w:val="28"/>
          <w:szCs w:val="28"/>
          <w:highlight w:val="none"/>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四、我方理解</w:t>
      </w:r>
      <w:r>
        <w:rPr>
          <w:rFonts w:hint="eastAsia" w:ascii="宋体" w:hAnsi="宋体" w:eastAsia="宋体" w:cs="宋体"/>
          <w:color w:val="auto"/>
          <w:kern w:val="0"/>
          <w:sz w:val="28"/>
          <w:szCs w:val="28"/>
          <w:highlight w:val="none"/>
          <w:lang w:val="en-US" w:eastAsia="zh-CN"/>
        </w:rPr>
        <w:t>并接受</w:t>
      </w:r>
      <w:r>
        <w:rPr>
          <w:rFonts w:hint="eastAsia" w:ascii="宋体" w:hAnsi="宋体" w:eastAsia="宋体" w:cs="宋体"/>
          <w:color w:val="auto"/>
          <w:kern w:val="0"/>
          <w:sz w:val="28"/>
          <w:szCs w:val="28"/>
          <w:highlight w:val="none"/>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法人代表或</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委托代理人：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highlight w:val="none"/>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highlight w:val="none"/>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highlight w:val="none"/>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highlight w:val="none"/>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highlight w:val="none"/>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highlight w:val="none"/>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highlight w:val="none"/>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highlight w:val="none"/>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highlight w:val="none"/>
        </w:rPr>
      </w:pPr>
      <w:r>
        <w:rPr>
          <w:rStyle w:val="38"/>
          <w:rFonts w:hint="eastAsia" w:ascii="宋体" w:hAnsi="宋体" w:eastAsia="宋体" w:cs="宋体"/>
          <w:color w:val="auto"/>
          <w:sz w:val="28"/>
          <w:szCs w:val="28"/>
          <w:highlight w:val="none"/>
          <w:lang w:val="en-US" w:eastAsia="zh-CN"/>
        </w:rPr>
        <w:t>4</w:t>
      </w:r>
      <w:r>
        <w:rPr>
          <w:rStyle w:val="38"/>
          <w:rFonts w:hint="eastAsia" w:ascii="宋体" w:hAnsi="宋体" w:eastAsia="宋体" w:cs="宋体"/>
          <w:color w:val="auto"/>
          <w:sz w:val="28"/>
          <w:szCs w:val="28"/>
          <w:highlight w:val="none"/>
        </w:rPr>
        <w:t>、投标</w:t>
      </w:r>
      <w:r>
        <w:rPr>
          <w:rStyle w:val="38"/>
          <w:rFonts w:hint="eastAsia" w:ascii="宋体" w:hAnsi="宋体" w:eastAsia="宋体" w:cs="宋体"/>
          <w:color w:val="auto"/>
          <w:sz w:val="28"/>
          <w:szCs w:val="28"/>
          <w:highlight w:val="none"/>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429"/>
        <w:gridCol w:w="1358"/>
        <w:gridCol w:w="1080"/>
        <w:gridCol w:w="14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1</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cs="宋体"/>
                <w:b/>
                <w:bCs/>
                <w:color w:val="auto"/>
                <w:kern w:val="0"/>
                <w:sz w:val="21"/>
                <w:szCs w:val="21"/>
                <w:highlight w:val="none"/>
                <w:vertAlign w:val="baseline"/>
                <w:lang w:val="en-US" w:eastAsia="zh-CN" w:bidi="ar"/>
              </w:rPr>
            </w:pPr>
            <w:r>
              <w:rPr>
                <w:rFonts w:hint="eastAsia" w:ascii="宋体" w:hAnsi="宋体" w:cs="宋体"/>
                <w:b/>
                <w:bCs/>
                <w:color w:val="auto"/>
                <w:kern w:val="0"/>
                <w:sz w:val="21"/>
                <w:szCs w:val="21"/>
                <w:highlight w:val="none"/>
                <w:vertAlign w:val="baseline"/>
                <w:lang w:val="en-US" w:eastAsia="zh-CN" w:bidi="ar"/>
              </w:rPr>
              <w:t>标</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cs="宋体"/>
                <w:b/>
                <w:bCs/>
                <w:color w:val="auto"/>
                <w:kern w:val="0"/>
                <w:sz w:val="21"/>
                <w:szCs w:val="21"/>
                <w:highlight w:val="none"/>
                <w:vertAlign w:val="baseline"/>
                <w:lang w:val="en-US" w:eastAsia="zh-CN" w:bidi="ar"/>
              </w:rPr>
              <w:t>段</w:t>
            </w:r>
          </w:p>
        </w:tc>
        <w:tc>
          <w:tcPr>
            <w:tcW w:w="3429"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起点-终点</w:t>
            </w:r>
          </w:p>
        </w:tc>
        <w:tc>
          <w:tcPr>
            <w:tcW w:w="1358"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（万吨）</w:t>
            </w:r>
          </w:p>
        </w:tc>
        <w:tc>
          <w:tcPr>
            <w:tcW w:w="108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（km）</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（元）</w:t>
            </w:r>
          </w:p>
        </w:tc>
        <w:tc>
          <w:tcPr>
            <w:tcW w:w="123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342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马钢嘉华当涂马嘉分厂-铜冠建材</w:t>
            </w:r>
          </w:p>
        </w:tc>
        <w:tc>
          <w:tcPr>
            <w:tcW w:w="1358" w:type="dxa"/>
            <w:vMerge w:val="restart"/>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10</w:t>
            </w:r>
          </w:p>
        </w:tc>
        <w:tc>
          <w:tcPr>
            <w:tcW w:w="1080" w:type="dxa"/>
            <w:vMerge w:val="restart"/>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125</w:t>
            </w:r>
          </w:p>
        </w:tc>
        <w:tc>
          <w:tcPr>
            <w:tcW w:w="1485" w:type="dxa"/>
            <w:vMerge w:val="restart"/>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p>
        </w:tc>
        <w:tc>
          <w:tcPr>
            <w:tcW w:w="1230" w:type="dxa"/>
            <w:vMerge w:val="restart"/>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342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马钢嘉华宣城南嘉分厂-铜冠建材</w:t>
            </w:r>
          </w:p>
        </w:tc>
        <w:tc>
          <w:tcPr>
            <w:tcW w:w="1358"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080"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485"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230" w:type="dxa"/>
            <w:vMerge w:val="continue"/>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3</w:t>
            </w:r>
          </w:p>
        </w:tc>
        <w:tc>
          <w:tcPr>
            <w:tcW w:w="342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马钢嘉华本部-铜冠建材</w:t>
            </w:r>
          </w:p>
        </w:tc>
        <w:tc>
          <w:tcPr>
            <w:tcW w:w="1358" w:type="dxa"/>
            <w:vMerge w:val="restart"/>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1080" w:type="dxa"/>
            <w:vMerge w:val="restart"/>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145</w:t>
            </w:r>
          </w:p>
        </w:tc>
        <w:tc>
          <w:tcPr>
            <w:tcW w:w="1485" w:type="dxa"/>
            <w:vMerge w:val="restart"/>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p>
        </w:tc>
        <w:tc>
          <w:tcPr>
            <w:tcW w:w="1230" w:type="dxa"/>
            <w:vMerge w:val="restart"/>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4</w:t>
            </w:r>
          </w:p>
        </w:tc>
        <w:tc>
          <w:tcPr>
            <w:tcW w:w="342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马钢嘉华利民星火分厂-铜冠建材</w:t>
            </w:r>
          </w:p>
        </w:tc>
        <w:tc>
          <w:tcPr>
            <w:tcW w:w="1358"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080"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485"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p>
        </w:tc>
        <w:tc>
          <w:tcPr>
            <w:tcW w:w="1230" w:type="dxa"/>
            <w:vMerge w:val="continue"/>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5</w:t>
            </w:r>
          </w:p>
        </w:tc>
        <w:tc>
          <w:tcPr>
            <w:tcW w:w="342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芜湖三山区新兴铸管-铜冠建材</w:t>
            </w:r>
          </w:p>
        </w:tc>
        <w:tc>
          <w:tcPr>
            <w:tcW w:w="1358"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12</w:t>
            </w:r>
          </w:p>
        </w:tc>
        <w:tc>
          <w:tcPr>
            <w:tcW w:w="108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66</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p>
        </w:tc>
        <w:tc>
          <w:tcPr>
            <w:tcW w:w="1230" w:type="dxa"/>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cs="宋体"/>
                <w:color w:val="auto"/>
                <w:kern w:val="0"/>
                <w:sz w:val="21"/>
                <w:szCs w:val="21"/>
                <w:highlight w:val="none"/>
                <w:vertAlign w:val="baseline"/>
                <w:lang w:val="en-US" w:eastAsia="zh-CN" w:bidi="ar"/>
              </w:rPr>
              <w:t>6</w:t>
            </w:r>
          </w:p>
        </w:tc>
        <w:tc>
          <w:tcPr>
            <w:tcW w:w="342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both"/>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cs="宋体"/>
                <w:color w:val="auto"/>
                <w:kern w:val="0"/>
                <w:sz w:val="21"/>
                <w:szCs w:val="21"/>
                <w:highlight w:val="none"/>
                <w:vertAlign w:val="baseline"/>
                <w:lang w:val="en-US" w:eastAsia="zh-CN" w:bidi="ar"/>
              </w:rPr>
              <w:t>铜陵上峰-</w:t>
            </w:r>
            <w:r>
              <w:rPr>
                <w:rFonts w:hint="eastAsia" w:ascii="宋体" w:hAnsi="宋体" w:eastAsia="宋体" w:cs="宋体"/>
                <w:color w:val="auto"/>
                <w:kern w:val="0"/>
                <w:sz w:val="21"/>
                <w:szCs w:val="21"/>
                <w:highlight w:val="none"/>
                <w:vertAlign w:val="baseline"/>
                <w:lang w:val="en-US" w:eastAsia="zh-CN" w:bidi="ar"/>
              </w:rPr>
              <w:t>铜冠建材</w:t>
            </w:r>
          </w:p>
        </w:tc>
        <w:tc>
          <w:tcPr>
            <w:tcW w:w="1358"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cs="宋体"/>
                <w:color w:val="auto"/>
                <w:kern w:val="0"/>
                <w:sz w:val="21"/>
                <w:szCs w:val="21"/>
                <w:highlight w:val="none"/>
                <w:vertAlign w:val="baseline"/>
                <w:lang w:val="en-US" w:eastAsia="zh-CN" w:bidi="ar"/>
              </w:rPr>
              <w:t>2</w:t>
            </w:r>
          </w:p>
        </w:tc>
        <w:tc>
          <w:tcPr>
            <w:tcW w:w="108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cs="宋体"/>
                <w:color w:val="auto"/>
                <w:kern w:val="0"/>
                <w:sz w:val="21"/>
                <w:szCs w:val="21"/>
                <w:highlight w:val="none"/>
                <w:vertAlign w:val="baseline"/>
                <w:lang w:val="en-US" w:eastAsia="zh-CN" w:bidi="ar"/>
              </w:rPr>
              <w:t>18</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p>
        </w:tc>
        <w:tc>
          <w:tcPr>
            <w:tcW w:w="1230" w:type="dxa"/>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429"/>
        <w:gridCol w:w="1358"/>
        <w:gridCol w:w="1080"/>
        <w:gridCol w:w="14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2</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cs="宋体"/>
                <w:b/>
                <w:bCs/>
                <w:color w:val="auto"/>
                <w:kern w:val="0"/>
                <w:sz w:val="21"/>
                <w:szCs w:val="21"/>
                <w:highlight w:val="none"/>
                <w:vertAlign w:val="baseline"/>
                <w:lang w:val="en-US" w:eastAsia="zh-CN" w:bidi="ar"/>
              </w:rPr>
            </w:pPr>
            <w:r>
              <w:rPr>
                <w:rFonts w:hint="eastAsia" w:ascii="宋体" w:hAnsi="宋体" w:cs="宋体"/>
                <w:b/>
                <w:bCs/>
                <w:color w:val="auto"/>
                <w:kern w:val="0"/>
                <w:sz w:val="21"/>
                <w:szCs w:val="21"/>
                <w:highlight w:val="none"/>
                <w:vertAlign w:val="baseline"/>
                <w:lang w:val="en-US" w:eastAsia="zh-CN" w:bidi="ar"/>
              </w:rPr>
              <w:t>标</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cs="宋体"/>
                <w:b/>
                <w:bCs/>
                <w:color w:val="auto"/>
                <w:kern w:val="0"/>
                <w:sz w:val="21"/>
                <w:szCs w:val="21"/>
                <w:highlight w:val="none"/>
                <w:vertAlign w:val="baseline"/>
                <w:lang w:val="en-US" w:eastAsia="zh-CN" w:bidi="ar"/>
              </w:rPr>
              <w:t>段</w:t>
            </w:r>
          </w:p>
        </w:tc>
        <w:tc>
          <w:tcPr>
            <w:tcW w:w="3429"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起点-终点</w:t>
            </w:r>
          </w:p>
        </w:tc>
        <w:tc>
          <w:tcPr>
            <w:tcW w:w="1358"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（万吨）</w:t>
            </w:r>
          </w:p>
        </w:tc>
        <w:tc>
          <w:tcPr>
            <w:tcW w:w="108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（km）</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（元）</w:t>
            </w:r>
          </w:p>
        </w:tc>
        <w:tc>
          <w:tcPr>
            <w:tcW w:w="123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342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有色热电厂粉煤灰库-铜冠建材</w:t>
            </w:r>
          </w:p>
        </w:tc>
        <w:tc>
          <w:tcPr>
            <w:tcW w:w="1358"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4</w:t>
            </w:r>
          </w:p>
        </w:tc>
        <w:tc>
          <w:tcPr>
            <w:tcW w:w="108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p>
        </w:tc>
        <w:tc>
          <w:tcPr>
            <w:tcW w:w="1230" w:type="dxa"/>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429"/>
        <w:gridCol w:w="1358"/>
        <w:gridCol w:w="1080"/>
        <w:gridCol w:w="14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3</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cs="宋体"/>
                <w:b/>
                <w:bCs/>
                <w:color w:val="auto"/>
                <w:kern w:val="0"/>
                <w:sz w:val="21"/>
                <w:szCs w:val="21"/>
                <w:highlight w:val="none"/>
                <w:vertAlign w:val="baseline"/>
                <w:lang w:val="en-US" w:eastAsia="zh-CN" w:bidi="ar"/>
              </w:rPr>
            </w:pPr>
            <w:r>
              <w:rPr>
                <w:rFonts w:hint="eastAsia" w:ascii="宋体" w:hAnsi="宋体" w:cs="宋体"/>
                <w:b/>
                <w:bCs/>
                <w:color w:val="auto"/>
                <w:kern w:val="0"/>
                <w:sz w:val="21"/>
                <w:szCs w:val="21"/>
                <w:highlight w:val="none"/>
                <w:vertAlign w:val="baseline"/>
                <w:lang w:val="en-US" w:eastAsia="zh-CN" w:bidi="ar"/>
              </w:rPr>
              <w:t>标</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cs="宋体"/>
                <w:b/>
                <w:bCs/>
                <w:color w:val="auto"/>
                <w:kern w:val="0"/>
                <w:sz w:val="21"/>
                <w:szCs w:val="21"/>
                <w:highlight w:val="none"/>
                <w:vertAlign w:val="baseline"/>
                <w:lang w:val="en-US" w:eastAsia="zh-CN" w:bidi="ar"/>
              </w:rPr>
              <w:t>段</w:t>
            </w:r>
          </w:p>
        </w:tc>
        <w:tc>
          <w:tcPr>
            <w:tcW w:w="3429"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起点-终点</w:t>
            </w:r>
          </w:p>
        </w:tc>
        <w:tc>
          <w:tcPr>
            <w:tcW w:w="1358"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（万吨）</w:t>
            </w:r>
          </w:p>
        </w:tc>
        <w:tc>
          <w:tcPr>
            <w:tcW w:w="108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（km）</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（元）</w:t>
            </w:r>
          </w:p>
        </w:tc>
        <w:tc>
          <w:tcPr>
            <w:tcW w:w="123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342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有色热电厂炉渣石膏库-铜冠建材</w:t>
            </w:r>
          </w:p>
        </w:tc>
        <w:tc>
          <w:tcPr>
            <w:tcW w:w="1358"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108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p>
        </w:tc>
        <w:tc>
          <w:tcPr>
            <w:tcW w:w="1230" w:type="dxa"/>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3429" w:type="dxa"/>
            <w:noWrap w:val="0"/>
            <w:vAlign w:val="top"/>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有色热电厂石膏库-对外销售</w:t>
            </w:r>
          </w:p>
        </w:tc>
        <w:tc>
          <w:tcPr>
            <w:tcW w:w="1358"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0.8</w:t>
            </w:r>
          </w:p>
        </w:tc>
        <w:tc>
          <w:tcPr>
            <w:tcW w:w="108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p>
        </w:tc>
        <w:tc>
          <w:tcPr>
            <w:tcW w:w="1230" w:type="dxa"/>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val="en-US" w:eastAsia="zh-CN"/>
        </w:rPr>
        <w:t>注：以上运输价格含9%增值税，对外销售价格含3%增值税，最高投标限价开标时公布。</w:t>
      </w:r>
      <w:bookmarkStart w:id="30" w:name="_GoBack"/>
      <w:bookmarkEnd w:id="30"/>
    </w:p>
    <w:p>
      <w:pPr>
        <w:pageBreakBefore w:val="0"/>
        <w:kinsoku/>
        <w:wordWrap/>
        <w:overflowPunct/>
        <w:topLinePunct w:val="0"/>
        <w:bidi w:val="0"/>
        <w:adjustRightIn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投标单位(签章)：</w:t>
      </w:r>
    </w:p>
    <w:p>
      <w:pPr>
        <w:pageBreakBefore w:val="0"/>
        <w:kinsoku/>
        <w:wordWrap/>
        <w:overflowPunct/>
        <w:topLinePunct w:val="0"/>
        <w:bidi w:val="0"/>
        <w:adjustRightIn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法定代表人（或授权代理人）签名：    </w:t>
      </w:r>
    </w:p>
    <w:p>
      <w:pPr>
        <w:pageBreakBefore w:val="0"/>
        <w:kinsoku/>
        <w:wordWrap/>
        <w:overflowPunct/>
        <w:topLinePunct w:val="0"/>
        <w:bidi w:val="0"/>
        <w:adjustRightIn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highlight w:val="none"/>
          <w:lang w:val="en-US" w:eastAsia="zh-CN"/>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highlight w:val="none"/>
          <w:lang w:val="en-US" w:eastAsia="zh-CN"/>
        </w:rPr>
      </w:pPr>
      <w:r>
        <w:rPr>
          <w:rStyle w:val="38"/>
          <w:rFonts w:hint="eastAsia" w:ascii="宋体" w:hAnsi="宋体" w:eastAsia="宋体" w:cs="宋体"/>
          <w:b/>
          <w:color w:val="auto"/>
          <w:sz w:val="28"/>
          <w:szCs w:val="28"/>
          <w:highlight w:val="none"/>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highlight w:val="none"/>
          <w:lang w:val="en-US" w:eastAsia="zh-CN"/>
        </w:rPr>
      </w:pP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highlight w:val="none"/>
          <w:lang w:val="en-US" w:eastAsia="zh-CN"/>
        </w:rPr>
      </w:pPr>
      <w:r>
        <w:rPr>
          <w:rStyle w:val="38"/>
          <w:rFonts w:hint="eastAsia" w:ascii="宋体" w:hAnsi="宋体" w:eastAsia="宋体" w:cs="宋体"/>
          <w:b w:val="0"/>
          <w:bCs/>
          <w:color w:val="auto"/>
          <w:sz w:val="28"/>
          <w:szCs w:val="28"/>
          <w:highlight w:val="none"/>
          <w:lang w:val="en-US" w:eastAsia="zh-CN"/>
        </w:rPr>
        <w:t>营业执照副本（复印件）；</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highlight w:val="none"/>
          <w:lang w:val="en-US" w:eastAsia="zh-CN"/>
        </w:rPr>
      </w:pPr>
      <w:r>
        <w:rPr>
          <w:rStyle w:val="38"/>
          <w:rFonts w:hint="eastAsia" w:ascii="宋体" w:hAnsi="宋体" w:eastAsia="宋体" w:cs="宋体"/>
          <w:b w:val="0"/>
          <w:bCs/>
          <w:color w:val="auto"/>
          <w:sz w:val="28"/>
          <w:szCs w:val="28"/>
          <w:highlight w:val="none"/>
          <w:lang w:val="en-US" w:eastAsia="zh-CN"/>
        </w:rPr>
        <w:t>道路运输经营许可证（复印件）；</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highlight w:val="none"/>
          <w:lang w:val="en-US" w:eastAsia="zh-CN"/>
        </w:rPr>
      </w:pPr>
      <w:r>
        <w:rPr>
          <w:rStyle w:val="38"/>
          <w:rFonts w:hint="eastAsia" w:ascii="宋体" w:hAnsi="宋体" w:eastAsia="宋体" w:cs="宋体"/>
          <w:b w:val="0"/>
          <w:bCs/>
          <w:color w:val="auto"/>
          <w:sz w:val="28"/>
          <w:szCs w:val="28"/>
          <w:highlight w:val="none"/>
          <w:lang w:val="en-US" w:eastAsia="zh-CN"/>
        </w:rPr>
        <w:t>公司简介；</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highlight w:val="none"/>
          <w:lang w:val="en-US" w:eastAsia="zh-CN"/>
        </w:rPr>
      </w:pPr>
      <w:r>
        <w:rPr>
          <w:rStyle w:val="38"/>
          <w:rFonts w:hint="eastAsia" w:ascii="宋体" w:hAnsi="宋体" w:eastAsia="宋体" w:cs="宋体"/>
          <w:b w:val="0"/>
          <w:bCs/>
          <w:color w:val="auto"/>
          <w:sz w:val="28"/>
          <w:szCs w:val="28"/>
          <w:highlight w:val="none"/>
          <w:lang w:val="en-US" w:eastAsia="zh-CN"/>
        </w:rPr>
        <w:t>公司车辆调度及管理体系简介；</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highlight w:val="none"/>
          <w:lang w:val="en-US" w:eastAsia="zh-CN"/>
        </w:rPr>
      </w:pPr>
      <w:r>
        <w:rPr>
          <w:rStyle w:val="38"/>
          <w:rFonts w:hint="eastAsia" w:ascii="宋体" w:hAnsi="宋体" w:eastAsia="宋体" w:cs="宋体"/>
          <w:b w:val="0"/>
          <w:bCs/>
          <w:color w:val="auto"/>
          <w:sz w:val="28"/>
          <w:szCs w:val="28"/>
          <w:highlight w:val="none"/>
          <w:lang w:val="en-US" w:eastAsia="zh-CN"/>
        </w:rPr>
        <w:t>车辆统计表（附机动车登记证书复印件及保险证明）。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highlight w:val="none"/>
                <w:vertAlign w:val="baseline"/>
                <w:lang w:val="en-US" w:eastAsia="zh-CN"/>
              </w:rPr>
            </w:pPr>
            <w:r>
              <w:rPr>
                <w:rStyle w:val="38"/>
                <w:rFonts w:hint="eastAsia" w:ascii="宋体" w:hAnsi="宋体" w:eastAsia="宋体" w:cs="宋体"/>
                <w:b w:val="0"/>
                <w:bCs/>
                <w:color w:val="auto"/>
                <w:sz w:val="28"/>
                <w:szCs w:val="28"/>
                <w:highlight w:val="none"/>
                <w:vertAlign w:val="baseline"/>
                <w:lang w:val="en-US" w:eastAsia="zh-CN"/>
              </w:rPr>
              <w:t>序号</w:t>
            </w: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highlight w:val="none"/>
                <w:vertAlign w:val="baseline"/>
                <w:lang w:val="en-US" w:eastAsia="zh-CN"/>
              </w:rPr>
            </w:pPr>
            <w:r>
              <w:rPr>
                <w:rStyle w:val="38"/>
                <w:rFonts w:hint="eastAsia" w:ascii="宋体" w:hAnsi="宋体" w:eastAsia="宋体" w:cs="宋体"/>
                <w:b w:val="0"/>
                <w:bCs/>
                <w:color w:val="auto"/>
                <w:sz w:val="28"/>
                <w:szCs w:val="28"/>
                <w:highlight w:val="none"/>
                <w:vertAlign w:val="baseline"/>
                <w:lang w:val="en-US" w:eastAsia="zh-CN"/>
              </w:rPr>
              <w:t>车辆所有人</w:t>
            </w: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highlight w:val="none"/>
                <w:vertAlign w:val="baseline"/>
                <w:lang w:val="en-US" w:eastAsia="zh-CN"/>
              </w:rPr>
            </w:pPr>
            <w:r>
              <w:rPr>
                <w:rStyle w:val="38"/>
                <w:rFonts w:hint="eastAsia" w:ascii="宋体" w:hAnsi="宋体" w:eastAsia="宋体" w:cs="宋体"/>
                <w:b w:val="0"/>
                <w:bCs/>
                <w:color w:val="auto"/>
                <w:sz w:val="28"/>
                <w:szCs w:val="28"/>
                <w:highlight w:val="none"/>
                <w:vertAlign w:val="baseline"/>
                <w:lang w:val="en-US" w:eastAsia="zh-CN"/>
              </w:rPr>
              <w:t>车牌号</w:t>
            </w: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highlight w:val="none"/>
                <w:vertAlign w:val="baseline"/>
                <w:lang w:val="en-US" w:eastAsia="zh-CN"/>
              </w:rPr>
            </w:pPr>
            <w:r>
              <w:rPr>
                <w:rStyle w:val="38"/>
                <w:rFonts w:hint="eastAsia" w:ascii="宋体" w:hAnsi="宋体" w:eastAsia="宋体" w:cs="宋体"/>
                <w:b w:val="0"/>
                <w:bCs/>
                <w:color w:val="auto"/>
                <w:sz w:val="28"/>
                <w:szCs w:val="28"/>
                <w:highlight w:val="none"/>
                <w:vertAlign w:val="baseline"/>
                <w:lang w:val="en-US" w:eastAsia="zh-CN"/>
              </w:rPr>
              <w:t>购买年月</w:t>
            </w: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highlight w:val="none"/>
                <w:vertAlign w:val="baseline"/>
                <w:lang w:val="en-US" w:eastAsia="zh-CN"/>
              </w:rPr>
            </w:pPr>
            <w:r>
              <w:rPr>
                <w:rStyle w:val="38"/>
                <w:rFonts w:hint="eastAsia" w:ascii="宋体" w:hAnsi="宋体" w:eastAsia="宋体" w:cs="宋体"/>
                <w:b w:val="0"/>
                <w:bCs/>
                <w:color w:val="auto"/>
                <w:sz w:val="28"/>
                <w:szCs w:val="28"/>
                <w:highlight w:val="none"/>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highlight w:val="none"/>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highlight w:val="none"/>
          <w:lang w:val="en-US" w:eastAsia="zh-CN"/>
        </w:rPr>
      </w:pPr>
    </w:p>
    <w:p>
      <w:pPr>
        <w:pStyle w:val="3"/>
        <w:pageBreakBefore w:val="0"/>
        <w:widowControl/>
        <w:kinsoku/>
        <w:wordWrap/>
        <w:overflowPunct/>
        <w:topLinePunct w:val="0"/>
        <w:bidi w:val="0"/>
        <w:adjustRightInd/>
        <w:spacing w:line="520" w:lineRule="exact"/>
        <w:ind w:left="0" w:firstLine="3092" w:firstLineChars="1100"/>
        <w:textAlignment w:val="auto"/>
        <w:rPr>
          <w:rFonts w:hint="eastAsia" w:ascii="宋体" w:hAnsi="宋体" w:eastAsia="宋体" w:cs="宋体"/>
          <w:b/>
          <w:color w:val="auto"/>
          <w:kern w:val="2"/>
          <w:sz w:val="28"/>
          <w:szCs w:val="28"/>
          <w:highlight w:val="none"/>
        </w:rPr>
      </w:pPr>
    </w:p>
    <w:p>
      <w:pPr>
        <w:pStyle w:val="3"/>
        <w:pageBreakBefore w:val="0"/>
        <w:widowControl/>
        <w:kinsoku/>
        <w:wordWrap/>
        <w:overflowPunct/>
        <w:topLinePunct w:val="0"/>
        <w:bidi w:val="0"/>
        <w:adjustRightInd/>
        <w:spacing w:line="520" w:lineRule="exact"/>
        <w:ind w:left="0" w:firstLine="3092" w:firstLineChars="1100"/>
        <w:textAlignment w:val="auto"/>
        <w:rPr>
          <w:rFonts w:hint="eastAsia" w:ascii="宋体" w:hAnsi="宋体" w:eastAsia="宋体" w:cs="宋体"/>
          <w:b/>
          <w:color w:val="auto"/>
          <w:kern w:val="2"/>
          <w:sz w:val="28"/>
          <w:szCs w:val="28"/>
          <w:highlight w:val="none"/>
        </w:rPr>
      </w:pPr>
    </w:p>
    <w:p>
      <w:pPr>
        <w:pStyle w:val="3"/>
        <w:pageBreakBefore w:val="0"/>
        <w:widowControl/>
        <w:kinsoku/>
        <w:wordWrap/>
        <w:overflowPunct/>
        <w:topLinePunct w:val="0"/>
        <w:bidi w:val="0"/>
        <w:adjustRightInd/>
        <w:spacing w:line="520" w:lineRule="exact"/>
        <w:ind w:left="0" w:firstLine="3092" w:firstLineChars="1100"/>
        <w:textAlignment w:val="auto"/>
        <w:rPr>
          <w:rFonts w:hint="eastAsia" w:ascii="宋体" w:hAnsi="宋体" w:eastAsia="宋体" w:cs="宋体"/>
          <w:b/>
          <w:color w:val="auto"/>
          <w:kern w:val="2"/>
          <w:sz w:val="28"/>
          <w:szCs w:val="28"/>
          <w:highlight w:val="none"/>
        </w:rPr>
      </w:pPr>
    </w:p>
    <w:p>
      <w:pPr>
        <w:pStyle w:val="3"/>
        <w:pageBreakBefore w:val="0"/>
        <w:widowControl/>
        <w:kinsoku/>
        <w:wordWrap/>
        <w:overflowPunct/>
        <w:topLinePunct w:val="0"/>
        <w:bidi w:val="0"/>
        <w:adjustRightInd/>
        <w:spacing w:line="520" w:lineRule="exact"/>
        <w:ind w:left="0" w:firstLine="3092" w:firstLineChars="1100"/>
        <w:textAlignment w:val="auto"/>
        <w:rPr>
          <w:rFonts w:hint="eastAsia" w:ascii="宋体" w:hAnsi="宋体" w:eastAsia="宋体" w:cs="宋体"/>
          <w:b/>
          <w:color w:val="auto"/>
          <w:kern w:val="2"/>
          <w:sz w:val="28"/>
          <w:szCs w:val="28"/>
          <w:highlight w:val="none"/>
        </w:rPr>
      </w:pPr>
    </w:p>
    <w:p>
      <w:pPr>
        <w:pageBreakBefore w:val="0"/>
        <w:kinsoku/>
        <w:wordWrap/>
        <w:overflowPunct/>
        <w:topLinePunct w:val="0"/>
        <w:bidi w:val="0"/>
        <w:adjustRightInd/>
        <w:spacing w:line="520" w:lineRule="exact"/>
        <w:textAlignment w:val="auto"/>
        <w:rPr>
          <w:rFonts w:hint="eastAsia" w:ascii="宋体" w:hAnsi="宋体" w:eastAsia="宋体" w:cs="宋体"/>
          <w:b/>
          <w:color w:val="auto"/>
          <w:kern w:val="2"/>
          <w:sz w:val="28"/>
          <w:szCs w:val="28"/>
          <w:highlight w:val="none"/>
        </w:rPr>
      </w:pPr>
    </w:p>
    <w:p>
      <w:pPr>
        <w:pageBreakBefore w:val="0"/>
        <w:kinsoku/>
        <w:wordWrap/>
        <w:overflowPunct/>
        <w:topLinePunct w:val="0"/>
        <w:bidi w:val="0"/>
        <w:adjustRightInd/>
        <w:spacing w:line="520" w:lineRule="exact"/>
        <w:textAlignment w:val="auto"/>
        <w:rPr>
          <w:rFonts w:hint="eastAsia" w:ascii="宋体" w:hAnsi="宋体" w:eastAsia="宋体" w:cs="宋体"/>
          <w:b/>
          <w:color w:val="auto"/>
          <w:kern w:val="2"/>
          <w:sz w:val="28"/>
          <w:szCs w:val="28"/>
          <w:highlight w:val="none"/>
        </w:rPr>
      </w:pPr>
    </w:p>
    <w:p>
      <w:pPr>
        <w:pageBreakBefore w:val="0"/>
        <w:kinsoku/>
        <w:wordWrap/>
        <w:overflowPunct/>
        <w:topLinePunct w:val="0"/>
        <w:bidi w:val="0"/>
        <w:adjustRightInd/>
        <w:spacing w:line="520" w:lineRule="exact"/>
        <w:textAlignment w:val="auto"/>
        <w:rPr>
          <w:rFonts w:hint="eastAsia" w:ascii="宋体" w:hAnsi="宋体" w:eastAsia="宋体" w:cs="宋体"/>
          <w:b/>
          <w:color w:val="auto"/>
          <w:kern w:val="2"/>
          <w:sz w:val="28"/>
          <w:szCs w:val="28"/>
          <w:highlight w:val="none"/>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center"/>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隶书">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eastAsia="宋体" w:cs="宋体"/>
      </w:rPr>
    </w:pPr>
    <w:r>
      <w:rPr>
        <w:rFonts w:hint="eastAsia" w:ascii="宋体" w:hAnsi="宋体" w:eastAsia="宋体" w:cs="宋体"/>
        <w:sz w:val="18"/>
        <w:szCs w:val="18"/>
        <w:lang w:val="en-US" w:eastAsia="zh-CN"/>
      </w:rPr>
      <w:t>铜陵铜冠建安新型环保建材科技有限公司-招标文件</w:t>
    </w: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00B42EFC"/>
    <w:multiLevelType w:val="singleLevel"/>
    <w:tmpl w:val="00B42EFC"/>
    <w:lvl w:ilvl="0" w:tentative="0">
      <w:start w:val="1"/>
      <w:numFmt w:val="decimal"/>
      <w:suff w:val="nothing"/>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5FD86B6"/>
    <w:multiLevelType w:val="singleLevel"/>
    <w:tmpl w:val="25FD86B6"/>
    <w:lvl w:ilvl="0" w:tentative="0">
      <w:start w:val="1"/>
      <w:numFmt w:val="decimal"/>
      <w:suff w:val="nothing"/>
      <w:lvlText w:val="%1、"/>
      <w:lvlJc w:val="left"/>
    </w:lvl>
  </w:abstractNum>
  <w:abstractNum w:abstractNumId="16">
    <w:nsid w:val="2E328FE9"/>
    <w:multiLevelType w:val="singleLevel"/>
    <w:tmpl w:val="2E328FE9"/>
    <w:lvl w:ilvl="0" w:tentative="0">
      <w:start w:val="1"/>
      <w:numFmt w:val="decimal"/>
      <w:suff w:val="nothing"/>
      <w:lvlText w:val="%1、"/>
      <w:lvlJc w:val="left"/>
    </w:lvl>
  </w:abstractNum>
  <w:abstractNum w:abstractNumId="17">
    <w:nsid w:val="3DF1D5CF"/>
    <w:multiLevelType w:val="singleLevel"/>
    <w:tmpl w:val="3DF1D5CF"/>
    <w:lvl w:ilvl="0" w:tentative="0">
      <w:start w:val="1"/>
      <w:numFmt w:val="decimal"/>
      <w:suff w:val="nothing"/>
      <w:lvlText w:val="%1、"/>
      <w:lvlJc w:val="left"/>
    </w:lvl>
  </w:abstractNum>
  <w:abstractNum w:abstractNumId="18">
    <w:nsid w:val="42E30478"/>
    <w:multiLevelType w:val="singleLevel"/>
    <w:tmpl w:val="42E30478"/>
    <w:lvl w:ilvl="0" w:tentative="0">
      <w:start w:val="1"/>
      <w:numFmt w:val="decimal"/>
      <w:suff w:val="nothing"/>
      <w:lvlText w:val="%1、"/>
      <w:lvlJc w:val="left"/>
    </w:lvl>
  </w:abstractNum>
  <w:abstractNum w:abstractNumId="19">
    <w:nsid w:val="4A53AE7B"/>
    <w:multiLevelType w:val="singleLevel"/>
    <w:tmpl w:val="4A53AE7B"/>
    <w:lvl w:ilvl="0" w:tentative="0">
      <w:start w:val="1"/>
      <w:numFmt w:val="decimal"/>
      <w:suff w:val="nothing"/>
      <w:lvlText w:val="%1、"/>
      <w:lvlJc w:val="left"/>
    </w:lvl>
  </w:abstractNum>
  <w:abstractNum w:abstractNumId="20">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20"/>
  </w:num>
  <w:num w:numId="5">
    <w:abstractNumId w:val="10"/>
  </w:num>
  <w:num w:numId="6">
    <w:abstractNumId w:val="2"/>
  </w:num>
  <w:num w:numId="7">
    <w:abstractNumId w:val="6"/>
  </w:num>
  <w:num w:numId="8">
    <w:abstractNumId w:val="13"/>
  </w:num>
  <w:num w:numId="9">
    <w:abstractNumId w:val="18"/>
  </w:num>
  <w:num w:numId="10">
    <w:abstractNumId w:val="16"/>
  </w:num>
  <w:num w:numId="11">
    <w:abstractNumId w:val="0"/>
  </w:num>
  <w:num w:numId="12">
    <w:abstractNumId w:val="7"/>
  </w:num>
  <w:num w:numId="13">
    <w:abstractNumId w:val="14"/>
  </w:num>
  <w:num w:numId="14">
    <w:abstractNumId w:val="17"/>
  </w:num>
  <w:num w:numId="15">
    <w:abstractNumId w:val="15"/>
  </w:num>
  <w:num w:numId="16">
    <w:abstractNumId w:val="19"/>
  </w:num>
  <w:num w:numId="17">
    <w:abstractNumId w:val="11"/>
  </w:num>
  <w:num w:numId="18">
    <w:abstractNumId w:val="1"/>
  </w:num>
  <w:num w:numId="19">
    <w:abstractNumId w:val="4"/>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8A0C50"/>
    <w:rsid w:val="0A3F6DE0"/>
    <w:rsid w:val="0D062667"/>
    <w:rsid w:val="0F274AD6"/>
    <w:rsid w:val="0FC81C7E"/>
    <w:rsid w:val="107A2C77"/>
    <w:rsid w:val="13E14490"/>
    <w:rsid w:val="15A14969"/>
    <w:rsid w:val="173F27A7"/>
    <w:rsid w:val="18991043"/>
    <w:rsid w:val="18E208DA"/>
    <w:rsid w:val="18EC15D5"/>
    <w:rsid w:val="1AE11AE9"/>
    <w:rsid w:val="1C445972"/>
    <w:rsid w:val="1CCF3205"/>
    <w:rsid w:val="201F68FC"/>
    <w:rsid w:val="22273140"/>
    <w:rsid w:val="225F0C2D"/>
    <w:rsid w:val="236B1C7B"/>
    <w:rsid w:val="27B64D34"/>
    <w:rsid w:val="299D2312"/>
    <w:rsid w:val="29AC7ECF"/>
    <w:rsid w:val="2C9726E8"/>
    <w:rsid w:val="2E6B7D6E"/>
    <w:rsid w:val="3219215E"/>
    <w:rsid w:val="32730AA6"/>
    <w:rsid w:val="32F309D2"/>
    <w:rsid w:val="332E0E03"/>
    <w:rsid w:val="3469767C"/>
    <w:rsid w:val="36856F6C"/>
    <w:rsid w:val="379D78E1"/>
    <w:rsid w:val="3B622DC5"/>
    <w:rsid w:val="3C49169E"/>
    <w:rsid w:val="3DC03EDE"/>
    <w:rsid w:val="3E145F08"/>
    <w:rsid w:val="3E362AC5"/>
    <w:rsid w:val="407836FF"/>
    <w:rsid w:val="42AE66A5"/>
    <w:rsid w:val="42E73D9C"/>
    <w:rsid w:val="437A06DE"/>
    <w:rsid w:val="453B29D1"/>
    <w:rsid w:val="45B8455F"/>
    <w:rsid w:val="45CB1ED6"/>
    <w:rsid w:val="48384793"/>
    <w:rsid w:val="48AC0715"/>
    <w:rsid w:val="49C574DA"/>
    <w:rsid w:val="4AF1223E"/>
    <w:rsid w:val="4C084120"/>
    <w:rsid w:val="4C8D7683"/>
    <w:rsid w:val="4CDA2DDD"/>
    <w:rsid w:val="4D4A5675"/>
    <w:rsid w:val="4FA97EFE"/>
    <w:rsid w:val="4FCD5BB3"/>
    <w:rsid w:val="4FFD7B08"/>
    <w:rsid w:val="502B4C0D"/>
    <w:rsid w:val="508C2F57"/>
    <w:rsid w:val="52230936"/>
    <w:rsid w:val="5741483A"/>
    <w:rsid w:val="590C7519"/>
    <w:rsid w:val="59481493"/>
    <w:rsid w:val="5A72502C"/>
    <w:rsid w:val="5E784A22"/>
    <w:rsid w:val="5EF86132"/>
    <w:rsid w:val="5F300E67"/>
    <w:rsid w:val="5FA03EEE"/>
    <w:rsid w:val="609A54C7"/>
    <w:rsid w:val="69163AFA"/>
    <w:rsid w:val="6A0665B3"/>
    <w:rsid w:val="6AF529DD"/>
    <w:rsid w:val="6B9612D7"/>
    <w:rsid w:val="6C294D95"/>
    <w:rsid w:val="6D4A7B09"/>
    <w:rsid w:val="6EED2C22"/>
    <w:rsid w:val="707C5AEC"/>
    <w:rsid w:val="72C720B6"/>
    <w:rsid w:val="73162C91"/>
    <w:rsid w:val="73C063DF"/>
    <w:rsid w:val="7482765D"/>
    <w:rsid w:val="76003C6C"/>
    <w:rsid w:val="774B7F46"/>
    <w:rsid w:val="781907C7"/>
    <w:rsid w:val="7954725D"/>
    <w:rsid w:val="7A9475A2"/>
    <w:rsid w:val="7A9D2B51"/>
    <w:rsid w:val="7C705461"/>
    <w:rsid w:val="7D003624"/>
    <w:rsid w:val="7D9C08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Pages>
  <Words>1808</Words>
  <Characters>10309</Characters>
  <Lines>1</Lines>
  <Paragraphs>1</Paragraphs>
  <TotalTime>1</TotalTime>
  <ScaleCrop>false</ScaleCrop>
  <LinksUpToDate>false</LinksUpToDate>
  <CharactersWithSpaces>12093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Administrator</cp:lastModifiedBy>
  <cp:lastPrinted>2016-05-24T02:41:00Z</cp:lastPrinted>
  <dcterms:modified xsi:type="dcterms:W3CDTF">2020-12-18T02:05:55Z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