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D8" w:rsidRPr="0083503E" w:rsidRDefault="005D6F2C" w:rsidP="0083503E">
      <w:pPr>
        <w:jc w:val="center"/>
        <w:rPr>
          <w:rFonts w:hint="eastAsia"/>
          <w:b/>
          <w:sz w:val="28"/>
          <w:szCs w:val="28"/>
        </w:rPr>
      </w:pPr>
      <w:r w:rsidRPr="0083503E">
        <w:rPr>
          <w:rFonts w:hint="eastAsia"/>
          <w:b/>
          <w:sz w:val="28"/>
          <w:szCs w:val="28"/>
        </w:rPr>
        <w:t>铜冠建安公司</w:t>
      </w:r>
      <w:r w:rsidRPr="0083503E">
        <w:rPr>
          <w:rFonts w:hint="eastAsia"/>
          <w:b/>
          <w:sz w:val="28"/>
          <w:szCs w:val="28"/>
        </w:rPr>
        <w:t>2021</w:t>
      </w:r>
      <w:r w:rsidRPr="0083503E">
        <w:rPr>
          <w:rFonts w:hint="eastAsia"/>
          <w:b/>
          <w:sz w:val="28"/>
          <w:szCs w:val="28"/>
        </w:rPr>
        <w:t>年度机械设备租赁合格供应商招标澄清函</w:t>
      </w:r>
    </w:p>
    <w:p w:rsidR="005D6F2C" w:rsidRPr="005D6F2C" w:rsidRDefault="005D6F2C">
      <w:pPr>
        <w:rPr>
          <w:rFonts w:hint="eastAsia"/>
          <w:sz w:val="28"/>
          <w:szCs w:val="28"/>
        </w:rPr>
      </w:pPr>
      <w:bookmarkStart w:id="0" w:name="_GoBack"/>
      <w:bookmarkEnd w:id="0"/>
    </w:p>
    <w:p w:rsidR="005D6F2C" w:rsidRPr="005D6F2C" w:rsidRDefault="005D6F2C">
      <w:pPr>
        <w:rPr>
          <w:rFonts w:hint="eastAsia"/>
          <w:sz w:val="28"/>
          <w:szCs w:val="28"/>
        </w:rPr>
      </w:pPr>
      <w:r w:rsidRPr="005D6F2C">
        <w:rPr>
          <w:rFonts w:hint="eastAsia"/>
          <w:sz w:val="28"/>
          <w:szCs w:val="28"/>
        </w:rPr>
        <w:t>各投标人：</w:t>
      </w:r>
    </w:p>
    <w:p w:rsidR="005D6F2C" w:rsidRDefault="005D6F2C" w:rsidP="005D6F2C">
      <w:pPr>
        <w:ind w:firstLine="560"/>
        <w:rPr>
          <w:rFonts w:hint="eastAsia"/>
          <w:sz w:val="28"/>
          <w:szCs w:val="28"/>
        </w:rPr>
      </w:pPr>
      <w:r w:rsidRPr="005D6F2C">
        <w:rPr>
          <w:rFonts w:hint="eastAsia"/>
          <w:sz w:val="28"/>
          <w:szCs w:val="28"/>
        </w:rPr>
        <w:t>1</w:t>
      </w:r>
      <w:r w:rsidRPr="005D6F2C">
        <w:rPr>
          <w:rFonts w:hint="eastAsia"/>
          <w:sz w:val="28"/>
          <w:szCs w:val="28"/>
        </w:rPr>
        <w:t>、</w:t>
      </w:r>
      <w:r w:rsidRPr="005D6F2C">
        <w:rPr>
          <w:rFonts w:hint="eastAsia"/>
          <w:sz w:val="28"/>
          <w:szCs w:val="28"/>
        </w:rPr>
        <w:t>铜冠建安公司</w:t>
      </w:r>
      <w:r w:rsidRPr="005D6F2C">
        <w:rPr>
          <w:rFonts w:hint="eastAsia"/>
          <w:sz w:val="28"/>
          <w:szCs w:val="28"/>
        </w:rPr>
        <w:t>2021</w:t>
      </w:r>
      <w:r w:rsidRPr="005D6F2C">
        <w:rPr>
          <w:rFonts w:hint="eastAsia"/>
          <w:sz w:val="28"/>
          <w:szCs w:val="28"/>
        </w:rPr>
        <w:t>年度机械设备租赁合格供应商招标</w:t>
      </w:r>
      <w:r w:rsidRPr="005D6F2C">
        <w:rPr>
          <w:rFonts w:hint="eastAsia"/>
          <w:sz w:val="28"/>
          <w:szCs w:val="28"/>
        </w:rPr>
        <w:t>原定于</w:t>
      </w:r>
      <w:r w:rsidRPr="005D6F2C">
        <w:rPr>
          <w:rFonts w:hint="eastAsia"/>
          <w:sz w:val="28"/>
          <w:szCs w:val="28"/>
        </w:rPr>
        <w:t>2021</w:t>
      </w:r>
      <w:r w:rsidRPr="005D6F2C">
        <w:rPr>
          <w:rFonts w:hint="eastAsia"/>
          <w:sz w:val="28"/>
          <w:szCs w:val="28"/>
        </w:rPr>
        <w:t>年</w:t>
      </w:r>
      <w:r w:rsidRPr="005D6F2C">
        <w:rPr>
          <w:rFonts w:hint="eastAsia"/>
          <w:sz w:val="28"/>
          <w:szCs w:val="28"/>
        </w:rPr>
        <w:t>1</w:t>
      </w:r>
      <w:r w:rsidRPr="005D6F2C">
        <w:rPr>
          <w:rFonts w:hint="eastAsia"/>
          <w:sz w:val="28"/>
          <w:szCs w:val="28"/>
        </w:rPr>
        <w:t>月</w:t>
      </w:r>
      <w:r w:rsidRPr="005D6F2C">
        <w:rPr>
          <w:rFonts w:hint="eastAsia"/>
          <w:sz w:val="28"/>
          <w:szCs w:val="28"/>
        </w:rPr>
        <w:t>27</w:t>
      </w:r>
      <w:r w:rsidRPr="005D6F2C">
        <w:rPr>
          <w:rFonts w:hint="eastAsia"/>
          <w:sz w:val="28"/>
          <w:szCs w:val="28"/>
        </w:rPr>
        <w:t>日上午</w:t>
      </w:r>
      <w:r w:rsidRPr="005D6F2C">
        <w:rPr>
          <w:rFonts w:hint="eastAsia"/>
          <w:sz w:val="28"/>
          <w:szCs w:val="28"/>
        </w:rPr>
        <w:t>9</w:t>
      </w:r>
      <w:r w:rsidRPr="005D6F2C">
        <w:rPr>
          <w:rFonts w:hint="eastAsia"/>
          <w:sz w:val="28"/>
          <w:szCs w:val="28"/>
        </w:rPr>
        <w:t>点开标，</w:t>
      </w:r>
      <w:r w:rsidRPr="005D6F2C">
        <w:rPr>
          <w:rFonts w:hint="eastAsia"/>
          <w:sz w:val="28"/>
          <w:szCs w:val="28"/>
          <w:highlight w:val="red"/>
        </w:rPr>
        <w:t>现在开标时间改为</w:t>
      </w:r>
      <w:r w:rsidRPr="005D6F2C">
        <w:rPr>
          <w:rFonts w:hint="eastAsia"/>
          <w:sz w:val="28"/>
          <w:szCs w:val="28"/>
          <w:highlight w:val="red"/>
        </w:rPr>
        <w:t>2021</w:t>
      </w:r>
      <w:r w:rsidRPr="005D6F2C">
        <w:rPr>
          <w:rFonts w:hint="eastAsia"/>
          <w:sz w:val="28"/>
          <w:szCs w:val="28"/>
          <w:highlight w:val="red"/>
        </w:rPr>
        <w:t>年</w:t>
      </w:r>
      <w:r w:rsidR="0083503E">
        <w:rPr>
          <w:rFonts w:hint="eastAsia"/>
          <w:sz w:val="28"/>
          <w:szCs w:val="28"/>
          <w:highlight w:val="red"/>
        </w:rPr>
        <w:t>1</w:t>
      </w:r>
      <w:r w:rsidRPr="005D6F2C">
        <w:rPr>
          <w:rFonts w:hint="eastAsia"/>
          <w:sz w:val="28"/>
          <w:szCs w:val="28"/>
          <w:highlight w:val="red"/>
        </w:rPr>
        <w:t>月</w:t>
      </w:r>
      <w:r w:rsidR="0083503E">
        <w:rPr>
          <w:rFonts w:hint="eastAsia"/>
          <w:sz w:val="28"/>
          <w:szCs w:val="28"/>
          <w:highlight w:val="red"/>
        </w:rPr>
        <w:t>29</w:t>
      </w:r>
      <w:r w:rsidRPr="005D6F2C">
        <w:rPr>
          <w:rFonts w:hint="eastAsia"/>
          <w:sz w:val="28"/>
          <w:szCs w:val="28"/>
          <w:highlight w:val="red"/>
        </w:rPr>
        <w:t>日上午</w:t>
      </w:r>
      <w:r w:rsidRPr="005D6F2C">
        <w:rPr>
          <w:rFonts w:hint="eastAsia"/>
          <w:sz w:val="28"/>
          <w:szCs w:val="28"/>
          <w:highlight w:val="red"/>
        </w:rPr>
        <w:t>9</w:t>
      </w:r>
      <w:r w:rsidRPr="005D6F2C">
        <w:rPr>
          <w:rFonts w:hint="eastAsia"/>
          <w:sz w:val="28"/>
          <w:szCs w:val="28"/>
          <w:highlight w:val="red"/>
        </w:rPr>
        <w:t>点，投标文件递交截止时间改为</w:t>
      </w:r>
      <w:r w:rsidRPr="005D6F2C">
        <w:rPr>
          <w:rFonts w:hint="eastAsia"/>
          <w:sz w:val="28"/>
          <w:szCs w:val="28"/>
          <w:highlight w:val="red"/>
        </w:rPr>
        <w:t>2021</w:t>
      </w:r>
      <w:r w:rsidRPr="005D6F2C">
        <w:rPr>
          <w:rFonts w:hint="eastAsia"/>
          <w:sz w:val="28"/>
          <w:szCs w:val="28"/>
          <w:highlight w:val="red"/>
        </w:rPr>
        <w:t>年</w:t>
      </w:r>
      <w:r w:rsidR="0083503E">
        <w:rPr>
          <w:rFonts w:hint="eastAsia"/>
          <w:sz w:val="28"/>
          <w:szCs w:val="28"/>
          <w:highlight w:val="red"/>
        </w:rPr>
        <w:t>1</w:t>
      </w:r>
      <w:r w:rsidRPr="005D6F2C">
        <w:rPr>
          <w:rFonts w:hint="eastAsia"/>
          <w:sz w:val="28"/>
          <w:szCs w:val="28"/>
          <w:highlight w:val="red"/>
        </w:rPr>
        <w:t>月</w:t>
      </w:r>
      <w:r w:rsidR="0083503E">
        <w:rPr>
          <w:rFonts w:hint="eastAsia"/>
          <w:sz w:val="28"/>
          <w:szCs w:val="28"/>
          <w:highlight w:val="red"/>
        </w:rPr>
        <w:t>29</w:t>
      </w:r>
      <w:r w:rsidRPr="005D6F2C">
        <w:rPr>
          <w:rFonts w:hint="eastAsia"/>
          <w:sz w:val="28"/>
          <w:szCs w:val="28"/>
          <w:highlight w:val="red"/>
        </w:rPr>
        <w:t>日上午</w:t>
      </w:r>
      <w:r w:rsidRPr="005D6F2C">
        <w:rPr>
          <w:rFonts w:hint="eastAsia"/>
          <w:sz w:val="28"/>
          <w:szCs w:val="28"/>
          <w:highlight w:val="red"/>
        </w:rPr>
        <w:t>9</w:t>
      </w:r>
      <w:r w:rsidRPr="005D6F2C">
        <w:rPr>
          <w:rFonts w:hint="eastAsia"/>
          <w:sz w:val="28"/>
          <w:szCs w:val="28"/>
          <w:highlight w:val="red"/>
        </w:rPr>
        <w:t>点</w:t>
      </w:r>
      <w:r w:rsidRPr="005D6F2C">
        <w:rPr>
          <w:rFonts w:hint="eastAsia"/>
          <w:sz w:val="28"/>
          <w:szCs w:val="28"/>
        </w:rPr>
        <w:t>。</w:t>
      </w:r>
    </w:p>
    <w:p w:rsidR="005D6F2C" w:rsidRDefault="005D6F2C" w:rsidP="005D6F2C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5D6F2C">
        <w:rPr>
          <w:rFonts w:hint="eastAsia"/>
          <w:sz w:val="28"/>
          <w:szCs w:val="28"/>
        </w:rPr>
        <w:t>铜冠建安公司</w:t>
      </w:r>
      <w:r w:rsidRPr="005D6F2C">
        <w:rPr>
          <w:rFonts w:hint="eastAsia"/>
          <w:sz w:val="28"/>
          <w:szCs w:val="28"/>
        </w:rPr>
        <w:t>2021</w:t>
      </w:r>
      <w:r w:rsidRPr="005D6F2C">
        <w:rPr>
          <w:rFonts w:hint="eastAsia"/>
          <w:sz w:val="28"/>
          <w:szCs w:val="28"/>
        </w:rPr>
        <w:t>年度机械设备租赁合格供应商招标</w:t>
      </w:r>
      <w:r>
        <w:rPr>
          <w:rFonts w:hint="eastAsia"/>
          <w:sz w:val="28"/>
          <w:szCs w:val="28"/>
        </w:rPr>
        <w:t>需提供相关业绩</w:t>
      </w:r>
      <w:r w:rsidR="0083503E">
        <w:rPr>
          <w:rFonts w:hint="eastAsia"/>
          <w:sz w:val="28"/>
          <w:szCs w:val="28"/>
        </w:rPr>
        <w:t>，业绩</w:t>
      </w:r>
      <w:proofErr w:type="gramStart"/>
      <w:r w:rsidR="0083503E">
        <w:rPr>
          <w:rFonts w:hint="eastAsia"/>
          <w:sz w:val="28"/>
          <w:szCs w:val="28"/>
        </w:rPr>
        <w:t>打分表</w:t>
      </w:r>
      <w:proofErr w:type="gramEnd"/>
      <w:r w:rsidR="0083503E">
        <w:rPr>
          <w:rFonts w:hint="eastAsia"/>
          <w:sz w:val="28"/>
          <w:szCs w:val="28"/>
        </w:rPr>
        <w:t>见附录，请各投标人根据业绩</w:t>
      </w:r>
      <w:proofErr w:type="gramStart"/>
      <w:r w:rsidR="0083503E">
        <w:rPr>
          <w:rFonts w:hint="eastAsia"/>
          <w:sz w:val="28"/>
          <w:szCs w:val="28"/>
        </w:rPr>
        <w:t>打分表完善</w:t>
      </w:r>
      <w:proofErr w:type="gramEnd"/>
      <w:r w:rsidR="0083503E">
        <w:rPr>
          <w:rFonts w:hint="eastAsia"/>
          <w:sz w:val="28"/>
          <w:szCs w:val="28"/>
        </w:rPr>
        <w:t>投标文件。</w:t>
      </w:r>
    </w:p>
    <w:p w:rsidR="0083503E" w:rsidRDefault="0083503E" w:rsidP="005D6F2C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、已递交投标文件的可</w:t>
      </w:r>
      <w:proofErr w:type="gramStart"/>
      <w:r>
        <w:rPr>
          <w:rFonts w:hint="eastAsia"/>
          <w:sz w:val="28"/>
          <w:szCs w:val="28"/>
        </w:rPr>
        <w:t>至经营</w:t>
      </w:r>
      <w:proofErr w:type="gramEnd"/>
      <w:r>
        <w:rPr>
          <w:rFonts w:hint="eastAsia"/>
          <w:sz w:val="28"/>
          <w:szCs w:val="28"/>
        </w:rPr>
        <w:t>部替换新的投标文件，未递交投标文件的</w:t>
      </w:r>
      <w:proofErr w:type="gramStart"/>
      <w:r>
        <w:rPr>
          <w:rFonts w:hint="eastAsia"/>
          <w:sz w:val="28"/>
          <w:szCs w:val="28"/>
        </w:rPr>
        <w:t>请完善</w:t>
      </w:r>
      <w:proofErr w:type="gramEnd"/>
      <w:r>
        <w:rPr>
          <w:rFonts w:hint="eastAsia"/>
          <w:sz w:val="28"/>
          <w:szCs w:val="28"/>
        </w:rPr>
        <w:t>资料后于</w:t>
      </w:r>
      <w:r w:rsidRPr="0083503E">
        <w:rPr>
          <w:rFonts w:hint="eastAsia"/>
          <w:sz w:val="28"/>
          <w:szCs w:val="28"/>
        </w:rPr>
        <w:t>投标文件递交截止时间</w:t>
      </w:r>
      <w:r>
        <w:rPr>
          <w:rFonts w:hint="eastAsia"/>
          <w:sz w:val="28"/>
          <w:szCs w:val="28"/>
        </w:rPr>
        <w:t>之前提交投标文件。</w:t>
      </w:r>
    </w:p>
    <w:p w:rsidR="0083503E" w:rsidRDefault="0083503E" w:rsidP="005D6F2C">
      <w:pPr>
        <w:ind w:firstLine="560"/>
        <w:rPr>
          <w:rFonts w:hint="eastAsia"/>
          <w:sz w:val="28"/>
          <w:szCs w:val="28"/>
        </w:rPr>
      </w:pPr>
    </w:p>
    <w:p w:rsidR="0083503E" w:rsidRDefault="0083503E" w:rsidP="005D6F2C">
      <w:pPr>
        <w:ind w:firstLine="560"/>
        <w:rPr>
          <w:rFonts w:hint="eastAsia"/>
          <w:sz w:val="28"/>
          <w:szCs w:val="28"/>
        </w:rPr>
      </w:pPr>
    </w:p>
    <w:p w:rsidR="0083503E" w:rsidRPr="0083503E" w:rsidRDefault="0083503E" w:rsidP="005D6F2C">
      <w:pPr>
        <w:ind w:firstLine="560"/>
        <w:rPr>
          <w:rFonts w:hint="eastAsia"/>
          <w:sz w:val="28"/>
          <w:szCs w:val="28"/>
        </w:rPr>
      </w:pPr>
    </w:p>
    <w:p w:rsidR="005D6F2C" w:rsidRDefault="0083503E" w:rsidP="008350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铜陵有色金属集团铜冠建安公司</w:t>
      </w:r>
    </w:p>
    <w:p w:rsidR="0083503E" w:rsidRDefault="0083503E" w:rsidP="008350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:rsidR="005D6F2C" w:rsidRDefault="005D6F2C" w:rsidP="005D6F2C">
      <w:pPr>
        <w:ind w:firstLine="560"/>
        <w:rPr>
          <w:rFonts w:hint="eastAsia"/>
          <w:sz w:val="28"/>
          <w:szCs w:val="28"/>
        </w:rPr>
      </w:pPr>
    </w:p>
    <w:p w:rsidR="005D6F2C" w:rsidRDefault="005D6F2C" w:rsidP="005D6F2C">
      <w:pPr>
        <w:ind w:firstLine="560"/>
        <w:rPr>
          <w:rFonts w:hint="eastAsia"/>
          <w:sz w:val="28"/>
          <w:szCs w:val="28"/>
        </w:rPr>
      </w:pPr>
    </w:p>
    <w:p w:rsidR="005D6F2C" w:rsidRDefault="005D6F2C" w:rsidP="005D6F2C">
      <w:pPr>
        <w:ind w:firstLine="560"/>
        <w:rPr>
          <w:rFonts w:hint="eastAsia"/>
          <w:sz w:val="28"/>
          <w:szCs w:val="28"/>
        </w:rPr>
      </w:pPr>
    </w:p>
    <w:p w:rsidR="005D6F2C" w:rsidRDefault="005D6F2C" w:rsidP="005D6F2C">
      <w:pPr>
        <w:ind w:firstLine="560"/>
        <w:rPr>
          <w:rFonts w:hint="eastAsia"/>
          <w:sz w:val="28"/>
          <w:szCs w:val="28"/>
        </w:rPr>
      </w:pPr>
    </w:p>
    <w:p w:rsidR="005D6F2C" w:rsidRDefault="005D6F2C" w:rsidP="005D6F2C">
      <w:pPr>
        <w:ind w:firstLine="560"/>
        <w:rPr>
          <w:rFonts w:hint="eastAsia"/>
          <w:sz w:val="28"/>
          <w:szCs w:val="28"/>
        </w:rPr>
      </w:pPr>
    </w:p>
    <w:p w:rsidR="005D6F2C" w:rsidRPr="005D6F2C" w:rsidRDefault="005D6F2C" w:rsidP="005D6F2C">
      <w:pPr>
        <w:ind w:firstLineChars="97" w:firstLine="312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  <w:r w:rsidRPr="005D6F2C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lastRenderedPageBreak/>
        <w:t>附录</w:t>
      </w:r>
      <w:proofErr w:type="gramStart"/>
      <w:r w:rsidRPr="005D6F2C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一</w:t>
      </w:r>
      <w:proofErr w:type="gramEnd"/>
      <w:r w:rsidRPr="005D6F2C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：</w:t>
      </w:r>
    </w:p>
    <w:p w:rsidR="005D6F2C" w:rsidRPr="005D6F2C" w:rsidRDefault="005D6F2C" w:rsidP="005D6F2C">
      <w:pPr>
        <w:ind w:firstLineChars="97" w:firstLine="312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  <w:r w:rsidRPr="005D6F2C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铜冠建安公司2021年度机械设备租赁合格供应商评分表</w:t>
      </w:r>
    </w:p>
    <w:tbl>
      <w:tblPr>
        <w:tblStyle w:val="a4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08"/>
        <w:gridCol w:w="3240"/>
        <w:gridCol w:w="778"/>
        <w:gridCol w:w="2342"/>
        <w:gridCol w:w="1154"/>
      </w:tblGrid>
      <w:tr w:rsidR="005D6F2C" w:rsidRPr="005D6F2C" w:rsidTr="00B21636">
        <w:trPr>
          <w:trHeight w:val="607"/>
        </w:trPr>
        <w:tc>
          <w:tcPr>
            <w:tcW w:w="1008" w:type="dxa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评分内容</w:t>
            </w:r>
          </w:p>
        </w:tc>
        <w:tc>
          <w:tcPr>
            <w:tcW w:w="778" w:type="dxa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342" w:type="dxa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1154" w:type="dxa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D6F2C" w:rsidRPr="005D6F2C" w:rsidTr="00B21636">
        <w:trPr>
          <w:trHeight w:val="2507"/>
        </w:trPr>
        <w:tc>
          <w:tcPr>
            <w:tcW w:w="1008" w:type="dxa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5D6F2C" w:rsidRPr="005D6F2C" w:rsidRDefault="005D6F2C" w:rsidP="005D6F2C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起重机械和土方机械规格、数量</w:t>
            </w:r>
          </w:p>
        </w:tc>
        <w:tc>
          <w:tcPr>
            <w:tcW w:w="778" w:type="dxa"/>
            <w:vAlign w:val="center"/>
          </w:tcPr>
          <w:p w:rsidR="005D6F2C" w:rsidRPr="005D6F2C" w:rsidRDefault="005D6F2C" w:rsidP="005D6F2C">
            <w:pPr>
              <w:jc w:val="center"/>
              <w:rPr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2342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根据各自所报所有机械规格、数量进行评分，满分</w:t>
            </w:r>
            <w:r w:rsidRPr="005D6F2C">
              <w:rPr>
                <w:rFonts w:hint="eastAsia"/>
                <w:sz w:val="28"/>
                <w:szCs w:val="28"/>
              </w:rPr>
              <w:t>25</w:t>
            </w:r>
            <w:r w:rsidRPr="005D6F2C">
              <w:rPr>
                <w:rFonts w:hint="eastAsia"/>
                <w:sz w:val="28"/>
                <w:szCs w:val="28"/>
              </w:rPr>
              <w:t>分，依次递减</w:t>
            </w:r>
          </w:p>
        </w:tc>
        <w:tc>
          <w:tcPr>
            <w:tcW w:w="1154" w:type="dxa"/>
            <w:vAlign w:val="center"/>
          </w:tcPr>
          <w:p w:rsidR="005D6F2C" w:rsidRPr="005D6F2C" w:rsidRDefault="005D6F2C" w:rsidP="005D6F2C">
            <w:pPr>
              <w:jc w:val="center"/>
              <w:rPr>
                <w:sz w:val="28"/>
                <w:szCs w:val="28"/>
              </w:rPr>
            </w:pPr>
          </w:p>
        </w:tc>
      </w:tr>
      <w:tr w:rsidR="005D6F2C" w:rsidRPr="005D6F2C" w:rsidTr="00B21636">
        <w:trPr>
          <w:trHeight w:val="2271"/>
        </w:trPr>
        <w:tc>
          <w:tcPr>
            <w:tcW w:w="1008" w:type="dxa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:rsidR="005D6F2C" w:rsidRPr="005D6F2C" w:rsidRDefault="005D6F2C" w:rsidP="005D6F2C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工程业绩</w:t>
            </w:r>
          </w:p>
        </w:tc>
        <w:tc>
          <w:tcPr>
            <w:tcW w:w="778" w:type="dxa"/>
            <w:vAlign w:val="center"/>
          </w:tcPr>
          <w:p w:rsidR="005D6F2C" w:rsidRPr="005D6F2C" w:rsidRDefault="005D6F2C" w:rsidP="005D6F2C">
            <w:pPr>
              <w:jc w:val="center"/>
              <w:rPr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2342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在铜陵市及周边地区内所承担的工程项目，每项</w:t>
            </w:r>
            <w:r w:rsidRPr="005D6F2C">
              <w:rPr>
                <w:rFonts w:hint="eastAsia"/>
                <w:sz w:val="28"/>
                <w:szCs w:val="28"/>
              </w:rPr>
              <w:t>5</w:t>
            </w:r>
            <w:r w:rsidRPr="005D6F2C">
              <w:rPr>
                <w:rFonts w:hint="eastAsia"/>
                <w:sz w:val="28"/>
                <w:szCs w:val="28"/>
              </w:rPr>
              <w:t>分，最高</w:t>
            </w:r>
            <w:r w:rsidRPr="005D6F2C">
              <w:rPr>
                <w:rFonts w:hint="eastAsia"/>
                <w:sz w:val="28"/>
                <w:szCs w:val="28"/>
              </w:rPr>
              <w:t>20</w:t>
            </w:r>
            <w:r w:rsidRPr="005D6F2C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54" w:type="dxa"/>
            <w:vAlign w:val="center"/>
          </w:tcPr>
          <w:p w:rsidR="005D6F2C" w:rsidRPr="005D6F2C" w:rsidRDefault="005D6F2C" w:rsidP="005D6F2C">
            <w:pPr>
              <w:jc w:val="center"/>
              <w:rPr>
                <w:sz w:val="28"/>
                <w:szCs w:val="28"/>
              </w:rPr>
            </w:pPr>
          </w:p>
        </w:tc>
      </w:tr>
      <w:tr w:rsidR="005D6F2C" w:rsidRPr="005D6F2C" w:rsidTr="00B21636">
        <w:trPr>
          <w:trHeight w:val="2195"/>
        </w:trPr>
        <w:tc>
          <w:tcPr>
            <w:tcW w:w="1008" w:type="dxa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 w:rsidR="005D6F2C" w:rsidRPr="005D6F2C" w:rsidRDefault="005D6F2C" w:rsidP="005D6F2C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承包人及供应商有无不良记录</w:t>
            </w:r>
          </w:p>
        </w:tc>
        <w:tc>
          <w:tcPr>
            <w:tcW w:w="778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5D6F2C" w:rsidRPr="005D6F2C" w:rsidRDefault="005D6F2C" w:rsidP="005D6F2C">
            <w:pPr>
              <w:jc w:val="center"/>
              <w:rPr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342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承包人及供应商有一项不良记录为</w:t>
            </w:r>
            <w:r w:rsidRPr="005D6F2C">
              <w:rPr>
                <w:rFonts w:hint="eastAsia"/>
                <w:sz w:val="28"/>
                <w:szCs w:val="28"/>
              </w:rPr>
              <w:t>0</w:t>
            </w:r>
            <w:r w:rsidRPr="005D6F2C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54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由业绩表中使用单位盖章</w:t>
            </w:r>
          </w:p>
        </w:tc>
      </w:tr>
      <w:tr w:rsidR="005D6F2C" w:rsidRPr="005D6F2C" w:rsidTr="00B21636">
        <w:trPr>
          <w:trHeight w:val="1830"/>
        </w:trPr>
        <w:tc>
          <w:tcPr>
            <w:tcW w:w="1008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 w:rsidR="005D6F2C" w:rsidRPr="005D6F2C" w:rsidRDefault="005D6F2C" w:rsidP="005D6F2C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报价单中机械设备租赁价格</w:t>
            </w:r>
          </w:p>
        </w:tc>
        <w:tc>
          <w:tcPr>
            <w:tcW w:w="778" w:type="dxa"/>
            <w:vAlign w:val="center"/>
          </w:tcPr>
          <w:p w:rsidR="005D6F2C" w:rsidRPr="005D6F2C" w:rsidRDefault="005D6F2C" w:rsidP="005D6F2C">
            <w:pPr>
              <w:jc w:val="center"/>
              <w:rPr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342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按照最低价格到最高价格分数依次递减</w:t>
            </w:r>
          </w:p>
        </w:tc>
        <w:tc>
          <w:tcPr>
            <w:tcW w:w="1154" w:type="dxa"/>
            <w:vAlign w:val="center"/>
          </w:tcPr>
          <w:p w:rsidR="005D6F2C" w:rsidRPr="005D6F2C" w:rsidRDefault="005D6F2C" w:rsidP="005D6F2C">
            <w:pPr>
              <w:jc w:val="center"/>
              <w:rPr>
                <w:sz w:val="28"/>
                <w:szCs w:val="28"/>
              </w:rPr>
            </w:pPr>
          </w:p>
        </w:tc>
      </w:tr>
      <w:tr w:rsidR="005D6F2C" w:rsidRPr="005D6F2C" w:rsidTr="00B21636">
        <w:trPr>
          <w:trHeight w:val="90"/>
        </w:trPr>
        <w:tc>
          <w:tcPr>
            <w:tcW w:w="1008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 w:rsidR="005D6F2C" w:rsidRPr="005D6F2C" w:rsidRDefault="005D6F2C" w:rsidP="005D6F2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2020</w:t>
            </w:r>
            <w:r w:rsidRPr="005D6F2C">
              <w:rPr>
                <w:rFonts w:hint="eastAsia"/>
                <w:sz w:val="28"/>
                <w:szCs w:val="28"/>
              </w:rPr>
              <w:t>年度供应商评分表（平均分）</w:t>
            </w:r>
          </w:p>
        </w:tc>
        <w:tc>
          <w:tcPr>
            <w:tcW w:w="778" w:type="dxa"/>
            <w:vAlign w:val="center"/>
          </w:tcPr>
          <w:p w:rsidR="005D6F2C" w:rsidRPr="005D6F2C" w:rsidRDefault="005D6F2C" w:rsidP="005D6F2C">
            <w:pPr>
              <w:jc w:val="center"/>
              <w:rPr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342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依据评分表中平均得分折算</w:t>
            </w:r>
          </w:p>
        </w:tc>
        <w:tc>
          <w:tcPr>
            <w:tcW w:w="1154" w:type="dxa"/>
            <w:vAlign w:val="center"/>
          </w:tcPr>
          <w:p w:rsidR="005D6F2C" w:rsidRPr="005D6F2C" w:rsidRDefault="005D6F2C" w:rsidP="005D6F2C">
            <w:pPr>
              <w:jc w:val="center"/>
              <w:rPr>
                <w:sz w:val="28"/>
                <w:szCs w:val="28"/>
              </w:rPr>
            </w:pPr>
          </w:p>
        </w:tc>
      </w:tr>
      <w:tr w:rsidR="005D6F2C" w:rsidRPr="005D6F2C" w:rsidTr="00B21636">
        <w:trPr>
          <w:trHeight w:val="826"/>
        </w:trPr>
        <w:tc>
          <w:tcPr>
            <w:tcW w:w="1008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778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  <w:r w:rsidRPr="005D6F2C"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2342" w:type="dxa"/>
            <w:vAlign w:val="center"/>
          </w:tcPr>
          <w:p w:rsidR="005D6F2C" w:rsidRPr="005D6F2C" w:rsidRDefault="005D6F2C" w:rsidP="005D6F2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54" w:type="dxa"/>
          </w:tcPr>
          <w:p w:rsidR="005D6F2C" w:rsidRPr="005D6F2C" w:rsidRDefault="005D6F2C" w:rsidP="005D6F2C">
            <w:pPr>
              <w:rPr>
                <w:sz w:val="28"/>
                <w:szCs w:val="28"/>
              </w:rPr>
            </w:pPr>
          </w:p>
        </w:tc>
      </w:tr>
    </w:tbl>
    <w:p w:rsidR="005D6F2C" w:rsidRPr="005D6F2C" w:rsidRDefault="005D6F2C" w:rsidP="005D6F2C">
      <w:pPr>
        <w:ind w:firstLineChars="97" w:firstLine="204"/>
        <w:rPr>
          <w:rFonts w:ascii="Times New Roman" w:eastAsia="宋体" w:hAnsi="Times New Roman" w:cs="Times New Roman"/>
          <w:szCs w:val="24"/>
        </w:rPr>
      </w:pPr>
    </w:p>
    <w:p w:rsidR="005D6F2C" w:rsidRPr="005D6F2C" w:rsidRDefault="005D6F2C" w:rsidP="005D6F2C">
      <w:pPr>
        <w:ind w:firstLine="560"/>
        <w:rPr>
          <w:sz w:val="28"/>
          <w:szCs w:val="28"/>
        </w:rPr>
      </w:pPr>
    </w:p>
    <w:sectPr w:rsidR="005D6F2C" w:rsidRPr="005D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20604"/>
    <w:multiLevelType w:val="hybridMultilevel"/>
    <w:tmpl w:val="4F725FAA"/>
    <w:lvl w:ilvl="0" w:tplc="BD168A70">
      <w:start w:val="1"/>
      <w:numFmt w:val="decimal"/>
      <w:lvlText w:val="%1、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C"/>
    <w:rsid w:val="00413401"/>
    <w:rsid w:val="00527691"/>
    <w:rsid w:val="005D6F2C"/>
    <w:rsid w:val="0083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F2C"/>
    <w:pPr>
      <w:ind w:firstLineChars="200" w:firstLine="420"/>
    </w:pPr>
  </w:style>
  <w:style w:type="table" w:styleId="a4">
    <w:name w:val="Table Grid"/>
    <w:basedOn w:val="a1"/>
    <w:rsid w:val="005D6F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F2C"/>
    <w:pPr>
      <w:ind w:firstLineChars="200" w:firstLine="420"/>
    </w:pPr>
  </w:style>
  <w:style w:type="table" w:styleId="a4">
    <w:name w:val="Table Grid"/>
    <w:basedOn w:val="a1"/>
    <w:rsid w:val="005D6F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2021-01-26T07:30:00Z</dcterms:created>
  <dcterms:modified xsi:type="dcterms:W3CDTF">2021-01-26T07:45:00Z</dcterms:modified>
</cp:coreProperties>
</file>