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宋体" w:hAnsi="宋体" w:cs="宋体"/>
          <w:b/>
          <w:bCs/>
          <w:sz w:val="44"/>
          <w:szCs w:val="44"/>
          <w:u w:val="single"/>
        </w:rPr>
      </w:pPr>
    </w:p>
    <w:p>
      <w:pPr>
        <w:jc w:val="center"/>
        <w:rPr>
          <w:rFonts w:ascii="宋体" w:hAnsi="宋体" w:cs="宋体"/>
          <w:b/>
          <w:bCs/>
          <w:sz w:val="44"/>
          <w:szCs w:val="44"/>
          <w:u w:val="single"/>
        </w:rPr>
      </w:pPr>
    </w:p>
    <w:p>
      <w:pPr>
        <w:jc w:val="center"/>
        <w:rPr>
          <w:rFonts w:ascii="仿宋_GB2312" w:hAnsi="仿宋_GB2312" w:cs="仿宋_GB2312"/>
          <w:b/>
          <w:bCs/>
          <w:sz w:val="44"/>
          <w:szCs w:val="44"/>
          <w:u w:val="single"/>
        </w:rPr>
      </w:pPr>
      <w:r>
        <w:rPr>
          <w:rFonts w:hint="eastAsia" w:ascii="宋体" w:hAnsi="宋体" w:cs="宋体"/>
          <w:b/>
          <w:bCs/>
          <w:sz w:val="44"/>
          <w:szCs w:val="44"/>
          <w:u w:val="single"/>
        </w:rPr>
        <w:t>第二事业部池州书香苑项目-商品混凝土</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TGJA-WZ-202148</w:t>
      </w: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2021年7月16日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2021年7月16日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2021年7月21日9:00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2021年7月21日9:00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（详见报价单）：约30000m</w:t>
      </w:r>
      <w:r>
        <w:rPr>
          <w:rFonts w:ascii="宋体" w:hAnsi="宋体" w:cs="宋体"/>
          <w:sz w:val="28"/>
          <w:szCs w:val="28"/>
          <w:u w:val="single"/>
        </w:rPr>
        <w:t>³</w:t>
      </w:r>
      <w:r>
        <w:rPr>
          <w:rFonts w:hint="eastAsia" w:ascii="仿宋" w:hAnsi="仿宋" w:eastAsia="仿宋" w:cs="仿宋_GB2312"/>
          <w:sz w:val="28"/>
          <w:szCs w:val="28"/>
          <w:u w:val="single"/>
        </w:rPr>
        <w:t xml:space="preserve">商品混凝土 </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2021年7月20日17:30止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 w:cs="仿宋_GB2312"/>
          <w:sz w:val="32"/>
          <w:szCs w:val="32"/>
          <w:u w:val="single"/>
        </w:rPr>
      </w:pPr>
      <w:r>
        <w:rPr>
          <w:rFonts w:hint="eastAsia" w:ascii="仿宋_GB2312" w:hAnsi="仿宋_GB2312" w:eastAsia="仿宋_GB2312" w:cs="仿宋_GB2312"/>
          <w:sz w:val="28"/>
          <w:szCs w:val="28"/>
        </w:rPr>
        <w:t>5、联 系 人：</w:t>
      </w:r>
      <w:r>
        <w:rPr>
          <w:rFonts w:hint="eastAsia" w:ascii="仿宋" w:hAnsi="仿宋" w:eastAsia="仿宋" w:cs="仿宋_GB2312"/>
          <w:sz w:val="32"/>
          <w:szCs w:val="32"/>
          <w:u w:val="single"/>
        </w:rPr>
        <w:t>贾杰（13965211845）</w:t>
      </w:r>
    </w:p>
    <w:p>
      <w:pPr>
        <w:ind w:firstLine="640" w:firstLineChars="200"/>
        <w:rPr>
          <w:rFonts w:ascii="仿宋" w:hAnsi="仿宋" w:eastAsia="仿宋" w:cs="仿宋_GB2312"/>
          <w:sz w:val="32"/>
          <w:szCs w:val="32"/>
          <w:u w:val="single"/>
        </w:rPr>
      </w:pPr>
    </w:p>
    <w:p>
      <w:pPr>
        <w:ind w:firstLine="640" w:firstLineChars="200"/>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sz w:val="32"/>
          <w:szCs w:val="32"/>
          <w:u w:val="single"/>
        </w:rPr>
      </w:pPr>
    </w:p>
    <w:p>
      <w:pPr>
        <w:numPr>
          <w:ilvl w:val="0"/>
          <w:numId w:val="2"/>
        </w:numPr>
        <w:jc w:val="center"/>
        <w:rPr>
          <w:rFonts w:ascii="仿宋_GB2312" w:hAnsi="宋体" w:eastAsia="仿宋_GB2312" w:cs="仿宋_GB2312"/>
          <w:b/>
          <w:sz w:val="36"/>
          <w:szCs w:val="36"/>
        </w:rPr>
      </w:pPr>
      <w:r>
        <w:rPr>
          <w:rFonts w:hint="eastAsia" w:ascii="仿宋_GB2312" w:hAnsi="宋体" w:eastAsia="仿宋_GB2312" w:cs="仿宋_GB2312"/>
          <w:b/>
          <w:sz w:val="36"/>
          <w:szCs w:val="36"/>
        </w:rPr>
        <w:t>投标保证金</w:t>
      </w:r>
    </w:p>
    <w:p>
      <w:pPr>
        <w:rPr>
          <w:rFonts w:ascii="仿宋_GB2312" w:hAnsi="宋体" w:eastAsia="仿宋_GB2312" w:cs="仿宋_GB2312"/>
          <w:b/>
          <w:sz w:val="36"/>
          <w:szCs w:val="36"/>
        </w:rPr>
      </w:pPr>
    </w:p>
    <w:p>
      <w:pPr>
        <w:numPr>
          <w:ilvl w:val="0"/>
          <w:numId w:val="3"/>
        </w:numPr>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为严肃和规范投标行为，确保投标的顺利以及中标后合同的有效执行，投标人须向招标人交纳投标保证金</w:t>
      </w:r>
      <w:r>
        <w:rPr>
          <w:rFonts w:hint="eastAsia" w:ascii="仿宋_GB2312" w:hAnsi="仿宋_GB2312" w:eastAsia="仿宋_GB2312" w:cs="仿宋_GB2312"/>
          <w:sz w:val="28"/>
          <w:szCs w:val="28"/>
          <w:u w:val="single"/>
        </w:rPr>
        <w:t>壹拾万元整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），无投标保证金的，视为无效投标。投标保证金须对公账户转账，不接受私人账户转账，同时要求注明</w:t>
      </w:r>
      <w:r>
        <w:rPr>
          <w:rFonts w:hint="eastAsia" w:ascii="仿宋_GB2312" w:hAnsi="仿宋_GB2312" w:eastAsia="仿宋_GB2312" w:cs="仿宋_GB2312"/>
          <w:sz w:val="28"/>
          <w:szCs w:val="28"/>
          <w:u w:val="single"/>
        </w:rPr>
        <w:t>第二事业部池州书香苑项目-商品混凝土TGJA-WZ-202148投标保证金。</w:t>
      </w:r>
    </w:p>
    <w:p>
      <w:pPr>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2、下列任何情况发生时，投标保证金不予以退还：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投标人在投标截止后至投标有效期内撤回投标文件的；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中标人未能在规定期限内按照招标文件签订合同协议；</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 签署合同后，未能在规定的时间内提供履约保证金。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 投标人在招标活动中存在违规和违法行为的。</w:t>
      </w:r>
    </w:p>
    <w:p>
      <w:pPr>
        <w:ind w:left="420"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 投标人中标后因中标人自身原因放弃中标资格的。</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3、公司对公账户信息</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ind w:firstLine="560" w:firstLineChars="200"/>
        <w:rPr>
          <w:rFonts w:ascii="仿宋_GB2312" w:hAnsi="仿宋_GB2312" w:eastAsia="仿宋_GB2312" w:cs="仿宋_GB2312"/>
          <w:sz w:val="28"/>
          <w:szCs w:val="28"/>
          <w:u w:val="single"/>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2021年7月21日9:00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560" w:firstLineChars="200"/>
        <w:rPr>
          <w:rFonts w:ascii="仿宋" w:hAnsi="仿宋" w:eastAsia="仿宋" w:cs="仿宋_GB2312"/>
          <w:sz w:val="28"/>
          <w:szCs w:val="28"/>
        </w:rPr>
      </w:pPr>
    </w:p>
    <w:p>
      <w:pPr>
        <w:ind w:firstLine="2891" w:firstLineChars="800"/>
        <w:rPr>
          <w:rFonts w:ascii="仿宋" w:hAnsi="仿宋" w:eastAsia="仿宋" w:cs="仿宋_GB2312"/>
          <w:b/>
          <w:sz w:val="36"/>
          <w:szCs w:val="36"/>
        </w:rPr>
      </w:pPr>
      <w:r>
        <w:rPr>
          <w:rFonts w:hint="eastAsia" w:ascii="仿宋" w:hAnsi="仿宋" w:eastAsia="仿宋" w:cs="仿宋_GB2312"/>
          <w:b/>
          <w:sz w:val="36"/>
          <w:szCs w:val="36"/>
        </w:rPr>
        <w:t>八、投标人须知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sz w:val="28"/>
          <w:szCs w:val="28"/>
          <w:u w:val="single"/>
        </w:rPr>
        <w:t>《预拌混凝土》GB/T14902-20</w:t>
      </w:r>
      <w:r>
        <w:rPr>
          <w:rFonts w:hint="eastAsia" w:ascii="仿宋" w:hAnsi="仿宋" w:eastAsia="仿宋" w:cs="仿宋_GB2312"/>
          <w:sz w:val="28"/>
          <w:szCs w:val="28"/>
          <w:u w:val="single"/>
        </w:rPr>
        <w:t>12</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（4）</w:t>
      </w:r>
      <w:r>
        <w:rPr>
          <w:rFonts w:hint="eastAsia" w:ascii="仿宋" w:hAnsi="仿宋" w:eastAsia="仿宋" w:cs="仿宋_GB2312"/>
          <w:sz w:val="28"/>
          <w:szCs w:val="28"/>
          <w:u w:val="single"/>
        </w:rPr>
        <w:t>投标人如若中标，</w:t>
      </w:r>
      <w:r>
        <w:rPr>
          <w:rFonts w:hint="eastAsia" w:ascii="仿宋_GB2312" w:hAnsi="仿宋_GB2312" w:eastAsia="仿宋_GB2312" w:cs="仿宋_GB2312"/>
          <w:sz w:val="28"/>
          <w:szCs w:val="28"/>
          <w:u w:val="single"/>
        </w:rPr>
        <w:t>须向招标人交纳200000元人民币作为履约保证金。中标人如未能有效履行合同，如发生质量问题、工期延误、方量不实、安全事故等情况（包括但不限于以上情况）将全额扣除履约保证金。</w:t>
      </w:r>
      <w:r>
        <w:rPr>
          <w:rFonts w:hint="eastAsia" w:ascii="仿宋" w:hAnsi="仿宋" w:eastAsia="仿宋" w:cs="仿宋_GB2312"/>
          <w:sz w:val="28"/>
          <w:szCs w:val="28"/>
          <w:u w:val="single"/>
        </w:rPr>
        <w:t>同时因中标人的原因造成业主、监理等有关部门对招标人的处罚及相关损失，由中标人承担。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b/>
          <w:bCs/>
          <w:sz w:val="28"/>
          <w:szCs w:val="28"/>
        </w:rPr>
      </w:pPr>
      <w:r>
        <w:rPr>
          <w:rFonts w:hint="eastAsia" w:ascii="仿宋" w:hAnsi="仿宋" w:eastAsia="仿宋" w:cs="仿宋_GB2312"/>
          <w:sz w:val="28"/>
          <w:szCs w:val="28"/>
          <w:u w:val="single"/>
        </w:rPr>
        <w:t>按月结算（池州贵池区信息价出来后开具上月发票入账，发票入账后次月支付，每月付进账额度70%），其余货款工程竣工后当年付清。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本次报价按池州市贵池区信息价下浮百分数。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8"/>
          <w:szCs w:val="28"/>
        </w:rPr>
        <w:t>以上事项不符合要求的视为无效投标。</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sz w:val="28"/>
          <w:szCs w:val="28"/>
        </w:rPr>
        <w:t>因投标人制作、密封、寄送报价文件</w:t>
      </w:r>
      <w:r>
        <w:rPr>
          <w:rFonts w:hint="eastAsia" w:ascii="仿宋_GB2312" w:hAnsi="仿宋_GB2312" w:eastAsia="仿宋_GB2312" w:cs="仿宋_GB2312"/>
          <w:bCs/>
          <w:sz w:val="28"/>
          <w:szCs w:val="28"/>
        </w:rPr>
        <w:t>不符合要求的视为无效投标。</w:t>
      </w:r>
    </w:p>
    <w:p>
      <w:pPr>
        <w:ind w:firstLine="638" w:firstLineChars="228"/>
        <w:rPr>
          <w:rFonts w:ascii="仿宋_GB2312" w:hAnsi="仿宋_GB2312" w:eastAsia="仿宋_GB2312" w:cs="仿宋_GB2312"/>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8"/>
          <w:szCs w:val="28"/>
        </w:rPr>
        <w:t>以上事项不符合要求的视为无效投标。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（5）投标人投标时需提供加盖公章的营业执照副本的复印件及其它资质资料。未提供</w:t>
      </w:r>
      <w:r>
        <w:rPr>
          <w:rFonts w:hint="eastAsia" w:ascii="仿宋" w:hAnsi="仿宋" w:eastAsia="仿宋" w:cs="仿宋_GB2312"/>
          <w:bCs/>
          <w:sz w:val="28"/>
          <w:szCs w:val="28"/>
        </w:rPr>
        <w:t>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材料送至池州市贵池区书香苑项目施工场所</w:t>
      </w:r>
      <w:r>
        <w:rPr>
          <w:rFonts w:hint="eastAsia" w:ascii="仿宋" w:hAnsi="仿宋" w:eastAsia="仿宋" w:cs="仿宋_GB2312"/>
          <w:color w:val="000000" w:themeColor="text1"/>
          <w:sz w:val="28"/>
          <w:szCs w:val="28"/>
          <w:u w:val="single"/>
          <w14:textFill>
            <w14:solidFill>
              <w14:schemeClr w14:val="tx1"/>
            </w14:solidFill>
          </w14:textFill>
        </w:rPr>
        <w:t>。</w:t>
      </w:r>
    </w:p>
    <w:p>
      <w:pPr>
        <w:spacing w:line="60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宋体" w:hAnsi="宋体" w:eastAsia="仿宋"/>
          <w:bCs/>
          <w:sz w:val="28"/>
          <w:szCs w:val="28"/>
          <w:u w:val="single"/>
        </w:rPr>
        <w:t>需签订“安全环境管理协议”在</w:t>
      </w:r>
      <w:r>
        <w:rPr>
          <w:rFonts w:hint="eastAsia" w:ascii="仿宋" w:hAnsi="仿宋" w:eastAsia="仿宋" w:cs="仿宋_GB2312"/>
          <w:sz w:val="28"/>
          <w:szCs w:val="28"/>
          <w:u w:val="single"/>
        </w:rPr>
        <w:t>运输过程中未按相关安全、环保等要求所导致的一切安全，环保事故由中标人承担责任。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spacing w:line="312" w:lineRule="auto"/>
        <w:rPr>
          <w:rFonts w:ascii="仿宋_GB2312" w:hAnsi="仿宋_GB2312" w:eastAsia="仿宋_GB2312" w:cs="仿宋_GB2312"/>
          <w:color w:val="FF0000"/>
          <w:sz w:val="28"/>
          <w:szCs w:val="28"/>
          <w:u w:val="single"/>
        </w:rPr>
      </w:pPr>
      <w:r>
        <w:rPr>
          <w:rFonts w:hint="eastAsia" w:ascii="仿宋" w:hAnsi="仿宋" w:eastAsia="仿宋" w:cs="仿宋_GB2312"/>
          <w:sz w:val="28"/>
          <w:szCs w:val="28"/>
          <w:u w:val="single"/>
        </w:rPr>
        <w:t>招标人按送货方单进行验收，</w:t>
      </w:r>
      <w:r>
        <w:rPr>
          <w:rFonts w:hint="eastAsia" w:ascii="仿宋_GB2312" w:hAnsi="仿宋_GB2312" w:eastAsia="仿宋_GB2312" w:cs="仿宋_GB2312"/>
          <w:sz w:val="28"/>
          <w:szCs w:val="28"/>
          <w:u w:val="single"/>
        </w:rPr>
        <w:t>并有权随时抽查,如抽查结果在负差3％以内的，属允许负差;如抽查结果在负差3%以上的，则当日所供所有混凝土按抽查最大负差百分比扣除结算</w:t>
      </w:r>
      <w:r>
        <w:rPr>
          <w:rFonts w:hint="eastAsia" w:ascii="仿宋_GB2312" w:hAnsi="仿宋_GB2312" w:eastAsia="仿宋_GB2312" w:cs="仿宋_GB2312"/>
          <w:color w:val="000000" w:themeColor="text1"/>
          <w:sz w:val="28"/>
          <w:szCs w:val="28"/>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对施工浇筑过程中混凝士的跑模、涨模、尾车中所要混凝土数量不准所造成</w:t>
      </w:r>
      <w:r>
        <w:rPr>
          <w:rFonts w:hint="eastAsia" w:ascii="仿宋_GB2312" w:hAnsi="仿宋_GB2312" w:eastAsia="仿宋_GB2312" w:cs="仿宋_GB2312"/>
          <w:sz w:val="28"/>
          <w:szCs w:val="28"/>
          <w:u w:val="single"/>
        </w:rPr>
        <w:t>的损失应由招标人承担。招标人每批次需用混凝土时,必须提前一天用书面订单、传真或电话通知中标人，日所需混凝土总量超过1000</w:t>
      </w:r>
      <w:r>
        <w:rPr>
          <w:rFonts w:hint="eastAsia" w:ascii="仿宋_GB2312" w:hAnsi="仿宋_GB2312" w:eastAsia="仿宋_GB2312" w:cs="仿宋_GB2312"/>
          <w:kern w:val="0"/>
          <w:sz w:val="28"/>
          <w:szCs w:val="28"/>
          <w:u w:val="single"/>
        </w:rPr>
        <w:t>M³</w:t>
      </w:r>
      <w:r>
        <w:rPr>
          <w:rFonts w:hint="eastAsia" w:ascii="仿宋_GB2312" w:hAnsi="仿宋_GB2312" w:eastAsia="仿宋_GB2312" w:cs="仿宋_GB2312"/>
          <w:sz w:val="28"/>
          <w:szCs w:val="28"/>
          <w:u w:val="single"/>
        </w:rPr>
        <w:t>时,须提前二天通知中标人；3000</w:t>
      </w:r>
      <w:r>
        <w:rPr>
          <w:rFonts w:hint="eastAsia" w:ascii="仿宋_GB2312" w:hAnsi="仿宋_GB2312" w:eastAsia="仿宋_GB2312" w:cs="仿宋_GB2312"/>
          <w:kern w:val="0"/>
          <w:sz w:val="28"/>
          <w:szCs w:val="28"/>
          <w:u w:val="single"/>
        </w:rPr>
        <w:t>M³</w:t>
      </w:r>
      <w:r>
        <w:rPr>
          <w:rFonts w:hint="eastAsia" w:ascii="仿宋_GB2312" w:hAnsi="仿宋_GB2312" w:eastAsia="仿宋_GB2312" w:cs="仿宋_GB2312"/>
          <w:sz w:val="28"/>
          <w:szCs w:val="28"/>
          <w:u w:val="single"/>
        </w:rPr>
        <w:t>以上大体积混凝土及特种混凝土(如轻骨料混凝土、重混凝土等)须提前7天通知中标人。招标人在《订货单》中需写明工程名称、浇筑时间、浇筑部位、混凝土强度等级、坍落度要求、数量及其</w:t>
      </w:r>
      <w:r>
        <w:rPr>
          <w:rFonts w:hint="eastAsia" w:ascii="仿宋_GB2312" w:hAnsi="仿宋_GB2312" w:eastAsia="仿宋_GB2312" w:cs="仿宋_GB2312"/>
          <w:color w:val="000000" w:themeColor="text1"/>
          <w:sz w:val="28"/>
          <w:szCs w:val="28"/>
          <w:u w:val="single"/>
          <w14:textFill>
            <w14:solidFill>
              <w14:schemeClr w14:val="tx1"/>
            </w14:solidFill>
          </w14:textFill>
        </w:rPr>
        <w:t>它特殊技术要求,以便中标人及时备料安排生产和安排运输设备。中标人如有特殊原因预计无法按照招标人要求供货的需提前通知招标人，并征得招标人同意。如未征得招标人同意，视为延期交货。中标人每延期一天需向招标人支付合同总金额的百分之一作为违约金。中标人供货不足及提供不合格的货物，均视同延期交货。延期超过7天的，招标人</w:t>
      </w:r>
      <w:r>
        <w:rPr>
          <w:rFonts w:hint="eastAsia" w:ascii="仿宋_GB2312" w:hAnsi="仿宋_GB2312" w:eastAsia="仿宋_GB2312" w:cs="仿宋_GB2312"/>
          <w:sz w:val="28"/>
          <w:szCs w:val="28"/>
          <w:u w:val="single"/>
        </w:rPr>
        <w:t>有权单方解除合同。招标人保留对已浇铸完工混凝土构件方量进行复核的权利，如偏差大于5%，双方需进行复核。如确定为投标人责任，则扣除超出部分的方量。</w:t>
      </w:r>
    </w:p>
    <w:p>
      <w:pPr>
        <w:numPr>
          <w:ilvl w:val="0"/>
          <w:numId w:val="4"/>
        </w:numPr>
        <w:ind w:firstLine="568" w:firstLineChars="202"/>
        <w:rPr>
          <w:rFonts w:ascii="仿宋" w:hAnsi="仿宋" w:eastAsia="仿宋" w:cs="仿宋_GB2312"/>
          <w:b/>
          <w:bCs/>
          <w:sz w:val="28"/>
          <w:szCs w:val="28"/>
        </w:rPr>
      </w:pPr>
      <w:r>
        <w:rPr>
          <w:rFonts w:hint="eastAsia" w:ascii="仿宋" w:hAnsi="仿宋" w:eastAsia="仿宋" w:cs="仿宋_GB2312"/>
          <w:b/>
          <w:bCs/>
          <w:color w:val="000000" w:themeColor="text1"/>
          <w:sz w:val="28"/>
          <w:szCs w:val="28"/>
          <w14:textFill>
            <w14:solidFill>
              <w14:schemeClr w14:val="tx1"/>
            </w14:solidFill>
          </w14:textFill>
        </w:rPr>
        <w:t>供货时间为2021年7月21日至2022年6月30日（供货时间参</w:t>
      </w:r>
      <w:r>
        <w:rPr>
          <w:rFonts w:hint="eastAsia" w:ascii="仿宋" w:hAnsi="仿宋" w:eastAsia="仿宋" w:cs="仿宋_GB2312"/>
          <w:b/>
          <w:bCs/>
          <w:sz w:val="28"/>
          <w:szCs w:val="28"/>
        </w:rPr>
        <w:t>考需方与业主签订的工程施工合同，实际供货时间可能稍有偏差，以实际需求为准），具体到货时间以需方要求为准。</w:t>
      </w:r>
    </w:p>
    <w:p>
      <w:pPr>
        <w:numPr>
          <w:ilvl w:val="0"/>
          <w:numId w:val="4"/>
        </w:numPr>
        <w:ind w:firstLine="568" w:firstLineChars="202"/>
        <w:rPr>
          <w:rFonts w:ascii="仿宋" w:hAnsi="仿宋" w:eastAsia="仿宋" w:cs="仿宋_GB2312"/>
          <w:b/>
          <w:bCs/>
          <w:color w:val="auto"/>
          <w:sz w:val="28"/>
          <w:szCs w:val="28"/>
        </w:rPr>
      </w:pPr>
      <w:r>
        <w:rPr>
          <w:rFonts w:hint="eastAsia" w:ascii="仿宋" w:hAnsi="仿宋" w:eastAsia="仿宋" w:cs="仿宋_GB2312"/>
          <w:b/>
          <w:bCs/>
          <w:color w:val="auto"/>
          <w:sz w:val="28"/>
          <w:szCs w:val="28"/>
        </w:rPr>
        <w:t>本次招标设最高控制价，凡高于控制价均视为无效投标。</w:t>
      </w:r>
    </w:p>
    <w:p>
      <w:pPr>
        <w:spacing w:line="600" w:lineRule="exact"/>
        <w:jc w:val="center"/>
        <w:rPr>
          <w:rFonts w:ascii="仿宋" w:hAnsi="仿宋" w:eastAsia="仿宋" w:cs="仿宋_GB2312"/>
          <w:b/>
          <w:sz w:val="36"/>
          <w:szCs w:val="36"/>
        </w:rPr>
      </w:pPr>
      <w:bookmarkStart w:id="0" w:name="_GoBack"/>
      <w:bookmarkEnd w:id="0"/>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000000" w:themeColor="text1"/>
          <w:sz w:val="28"/>
          <w:szCs w:val="28"/>
          <w:u w:val="single"/>
          <w14:textFill>
            <w14:solidFill>
              <w14:schemeClr w14:val="tx1"/>
            </w14:solidFill>
          </w14:textFill>
        </w:rPr>
        <w:t>需方设有最高限价，高于标底报价作废标处理。</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评标委员会依据评标结果推荐三名中标候选人，需方将对中标候选人进行现场实地考察，同时进行二次议价。需方将综合中标候选人的报价、实地考察情况以及二次议价的结果，最终确定二名中标单位。</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spacing w:line="600" w:lineRule="exact"/>
        <w:jc w:val="center"/>
        <w:rPr>
          <w:rFonts w:ascii="仿宋" w:hAnsi="仿宋" w:eastAsia="仿宋" w:cs="仿宋_GB2312"/>
          <w:b/>
          <w:sz w:val="36"/>
          <w:szCs w:val="36"/>
        </w:rPr>
      </w:pP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156" w:beforeLines="50" w:after="156" w:afterLines="50" w:line="360" w:lineRule="auto"/>
        <w:rPr>
          <w:sz w:val="24"/>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pPr>
    </w:p>
    <w:p>
      <w:pPr>
        <w:jc w:val="center"/>
        <w:rPr>
          <w:rFonts w:ascii="仿宋" w:hAnsi="仿宋" w:eastAsia="仿宋" w:cs="仿宋_GB2312"/>
          <w:b/>
          <w:sz w:val="36"/>
          <w:szCs w:val="36"/>
          <w:highlight w:val="cyan"/>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十二、投标廉洁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5"/>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5"/>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5"/>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5"/>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5"/>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十三、报价单</w:t>
      </w:r>
    </w:p>
    <w:p>
      <w:pPr>
        <w:rPr>
          <w:rFonts w:ascii="仿宋_GB2312" w:eastAsia="仿宋_GB2312"/>
          <w:b/>
          <w:sz w:val="28"/>
          <w:szCs w:val="28"/>
        </w:rPr>
      </w:pPr>
      <w:r>
        <w:rPr>
          <w:rFonts w:hint="eastAsia" w:ascii="仿宋_GB2312" w:eastAsia="仿宋_GB2312"/>
          <w:b/>
          <w:sz w:val="28"/>
          <w:szCs w:val="28"/>
        </w:rPr>
        <w:t>报价单（TGJA-WZ-202148）</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sz w:val="24"/>
              </w:rPr>
            </w:pPr>
            <w:r>
              <w:rPr>
                <w:rFonts w:hint="eastAsia" w:ascii="宋体" w:hAnsi="宋体" w:cs="宋体"/>
                <w:kern w:val="0"/>
                <w:sz w:val="20"/>
                <w:szCs w:val="20"/>
              </w:rPr>
              <w:t>商品混凝土</w:t>
            </w:r>
          </w:p>
        </w:tc>
        <w:tc>
          <w:tcPr>
            <w:tcW w:w="1515" w:type="dxa"/>
            <w:vAlign w:val="center"/>
          </w:tcPr>
          <w:p>
            <w:pPr>
              <w:widowControl/>
              <w:jc w:val="center"/>
              <w:textAlignment w:val="center"/>
              <w:rPr>
                <w:rFonts w:ascii="仿宋_GB2312" w:eastAsia="仿宋_GB2312"/>
                <w:sz w:val="24"/>
              </w:rPr>
            </w:pPr>
            <w:r>
              <w:rPr>
                <w:rFonts w:hint="eastAsia" w:ascii="宋体" w:hAnsi="宋体" w:cs="宋体"/>
                <w:kern w:val="0"/>
                <w:sz w:val="20"/>
                <w:szCs w:val="20"/>
              </w:rPr>
              <w:t>C15/C20/C25/C30/C35/C40(泵送)等</w:t>
            </w:r>
          </w:p>
        </w:tc>
        <w:tc>
          <w:tcPr>
            <w:tcW w:w="1860" w:type="dxa"/>
            <w:vAlign w:val="center"/>
          </w:tcPr>
          <w:p>
            <w:pPr>
              <w:widowControl/>
              <w:jc w:val="center"/>
              <w:textAlignment w:val="center"/>
              <w:rPr>
                <w:rFonts w:ascii="宋体" w:hAnsi="宋体" w:cs="宋体"/>
                <w:kern w:val="0"/>
                <w:sz w:val="20"/>
                <w:szCs w:val="20"/>
              </w:rPr>
            </w:pPr>
            <w:r>
              <w:rPr>
                <w:rFonts w:ascii="宋体" w:hAnsi="宋体" w:cs="宋体"/>
                <w:kern w:val="0"/>
                <w:sz w:val="20"/>
                <w:szCs w:val="20"/>
              </w:rPr>
              <w:t>GB/T14902-20</w:t>
            </w:r>
            <w:r>
              <w:rPr>
                <w:rFonts w:hint="eastAsia" w:ascii="宋体" w:hAnsi="宋体" w:cs="宋体"/>
                <w:kern w:val="0"/>
                <w:sz w:val="20"/>
                <w:szCs w:val="20"/>
              </w:rPr>
              <w:t>12</w:t>
            </w:r>
          </w:p>
        </w:tc>
        <w:tc>
          <w:tcPr>
            <w:tcW w:w="72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M³</w:t>
            </w:r>
          </w:p>
        </w:tc>
        <w:tc>
          <w:tcPr>
            <w:tcW w:w="975" w:type="dxa"/>
            <w:vAlign w:val="center"/>
          </w:tcPr>
          <w:p>
            <w:pPr>
              <w:widowControl/>
              <w:jc w:val="center"/>
              <w:textAlignment w:val="center"/>
              <w:rPr>
                <w:rFonts w:ascii="仿宋_GB2312" w:eastAsia="仿宋_GB2312"/>
                <w:sz w:val="24"/>
              </w:rPr>
            </w:pPr>
            <w:r>
              <w:rPr>
                <w:rFonts w:hint="eastAsia" w:ascii="仿宋_GB2312" w:eastAsia="仿宋_GB2312"/>
                <w:sz w:val="24"/>
              </w:rPr>
              <w:t>30000</w:t>
            </w: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r>
              <w:rPr>
                <w:rFonts w:hint="eastAsia" w:ascii="仿宋_GB2312" w:hAnsi="仿宋_GB2312" w:eastAsia="仿宋_GB2312" w:cs="仿宋_GB2312"/>
                <w:bCs/>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rPr>
              <w:t xml:space="preserve"> ＊ </w:t>
            </w:r>
            <w:r>
              <w:rPr>
                <w:rFonts w:hint="eastAsia" w:ascii="仿宋_GB2312" w:eastAsia="仿宋_GB2312"/>
                <w:sz w:val="24"/>
              </w:rPr>
              <w:t>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FFBA1EA1"/>
    <w:multiLevelType w:val="singleLevel"/>
    <w:tmpl w:val="FFBA1EA1"/>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AA130C"/>
    <w:multiLevelType w:val="singleLevel"/>
    <w:tmpl w:val="46AA130C"/>
    <w:lvl w:ilvl="0" w:tentative="0">
      <w:start w:val="8"/>
      <w:numFmt w:val="decimal"/>
      <w:suff w:val="nothing"/>
      <w:lvlText w:val="%1、"/>
      <w:lvlJc w:val="left"/>
    </w:lvl>
  </w:abstractNum>
  <w:abstractNum w:abstractNumId="4">
    <w:nsid w:val="72815E37"/>
    <w:multiLevelType w:val="singleLevel"/>
    <w:tmpl w:val="72815E37"/>
    <w:lvl w:ilvl="0" w:tentative="0">
      <w:start w:val="6"/>
      <w:numFmt w:val="chineseCounting"/>
      <w:suff w:val="space"/>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058C4"/>
    <w:rsid w:val="00010EC3"/>
    <w:rsid w:val="000135B4"/>
    <w:rsid w:val="00015D3F"/>
    <w:rsid w:val="00016EEB"/>
    <w:rsid w:val="0001705D"/>
    <w:rsid w:val="00017307"/>
    <w:rsid w:val="00017F6C"/>
    <w:rsid w:val="00020360"/>
    <w:rsid w:val="00020FD6"/>
    <w:rsid w:val="000226DD"/>
    <w:rsid w:val="00024BD0"/>
    <w:rsid w:val="000263E2"/>
    <w:rsid w:val="0003099D"/>
    <w:rsid w:val="0003120F"/>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86D82"/>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2C4"/>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1B18"/>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525E"/>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5A5D"/>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24F"/>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1120"/>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95B86"/>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234"/>
    <w:rsid w:val="00994380"/>
    <w:rsid w:val="009962C2"/>
    <w:rsid w:val="009A1323"/>
    <w:rsid w:val="009A21F1"/>
    <w:rsid w:val="009A3211"/>
    <w:rsid w:val="009A364B"/>
    <w:rsid w:val="009A469E"/>
    <w:rsid w:val="009A5BB0"/>
    <w:rsid w:val="009A6CA7"/>
    <w:rsid w:val="009A6ED8"/>
    <w:rsid w:val="009A6F26"/>
    <w:rsid w:val="009A7284"/>
    <w:rsid w:val="009B05DF"/>
    <w:rsid w:val="009B158B"/>
    <w:rsid w:val="009B1BF7"/>
    <w:rsid w:val="009B3A72"/>
    <w:rsid w:val="009B491D"/>
    <w:rsid w:val="009B7401"/>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1EF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838"/>
    <w:rsid w:val="00B12A6B"/>
    <w:rsid w:val="00B13D2D"/>
    <w:rsid w:val="00B15987"/>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032"/>
    <w:rsid w:val="00BB0F6C"/>
    <w:rsid w:val="00BB3912"/>
    <w:rsid w:val="00BB4269"/>
    <w:rsid w:val="00BB711E"/>
    <w:rsid w:val="00BB7207"/>
    <w:rsid w:val="00BC1D27"/>
    <w:rsid w:val="00BC3386"/>
    <w:rsid w:val="00BC43BC"/>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03EEC"/>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8DE"/>
    <w:rsid w:val="00D65D41"/>
    <w:rsid w:val="00D74162"/>
    <w:rsid w:val="00D74510"/>
    <w:rsid w:val="00D763D9"/>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4C0"/>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3F1"/>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1BBB"/>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A5C7401"/>
    <w:rsid w:val="0B2B537E"/>
    <w:rsid w:val="0C6241B2"/>
    <w:rsid w:val="0D2B4E23"/>
    <w:rsid w:val="0E876D2F"/>
    <w:rsid w:val="0EC82FD7"/>
    <w:rsid w:val="0ED06621"/>
    <w:rsid w:val="0EEA79E8"/>
    <w:rsid w:val="0F791AC7"/>
    <w:rsid w:val="10181623"/>
    <w:rsid w:val="10BD1543"/>
    <w:rsid w:val="11B31A31"/>
    <w:rsid w:val="12A820AD"/>
    <w:rsid w:val="17D86D23"/>
    <w:rsid w:val="18AF15FD"/>
    <w:rsid w:val="1B59783C"/>
    <w:rsid w:val="1BBF797C"/>
    <w:rsid w:val="1DEE2CCA"/>
    <w:rsid w:val="2037683E"/>
    <w:rsid w:val="223E7710"/>
    <w:rsid w:val="25590EC9"/>
    <w:rsid w:val="257138A8"/>
    <w:rsid w:val="26A26CEB"/>
    <w:rsid w:val="299D4A4C"/>
    <w:rsid w:val="2A1902C2"/>
    <w:rsid w:val="2AB020F1"/>
    <w:rsid w:val="2B3838B3"/>
    <w:rsid w:val="2BE80223"/>
    <w:rsid w:val="2C995D0F"/>
    <w:rsid w:val="2D3E7816"/>
    <w:rsid w:val="2DEE19F4"/>
    <w:rsid w:val="2E5604C6"/>
    <w:rsid w:val="2E8E540F"/>
    <w:rsid w:val="302E3043"/>
    <w:rsid w:val="30D974B7"/>
    <w:rsid w:val="333663C1"/>
    <w:rsid w:val="336F7BD6"/>
    <w:rsid w:val="343C1399"/>
    <w:rsid w:val="34634E47"/>
    <w:rsid w:val="346848DB"/>
    <w:rsid w:val="354F3A99"/>
    <w:rsid w:val="357B16F3"/>
    <w:rsid w:val="36050FAB"/>
    <w:rsid w:val="3989643E"/>
    <w:rsid w:val="3A3173ED"/>
    <w:rsid w:val="3B076549"/>
    <w:rsid w:val="3C5B75D3"/>
    <w:rsid w:val="3C7823C8"/>
    <w:rsid w:val="3DBC2399"/>
    <w:rsid w:val="3DCC4487"/>
    <w:rsid w:val="3E474521"/>
    <w:rsid w:val="3EC46DF8"/>
    <w:rsid w:val="3EC82979"/>
    <w:rsid w:val="417F702B"/>
    <w:rsid w:val="41B46B47"/>
    <w:rsid w:val="424B79E0"/>
    <w:rsid w:val="42B960AF"/>
    <w:rsid w:val="434963F7"/>
    <w:rsid w:val="439F612A"/>
    <w:rsid w:val="441344E9"/>
    <w:rsid w:val="44842956"/>
    <w:rsid w:val="44B922E9"/>
    <w:rsid w:val="45DC2779"/>
    <w:rsid w:val="465E02D2"/>
    <w:rsid w:val="46BC5513"/>
    <w:rsid w:val="499D4ACB"/>
    <w:rsid w:val="4A4163CA"/>
    <w:rsid w:val="4CC94A41"/>
    <w:rsid w:val="4E822997"/>
    <w:rsid w:val="4ED20DFA"/>
    <w:rsid w:val="4F0F5DA2"/>
    <w:rsid w:val="4F397E6D"/>
    <w:rsid w:val="4F54161A"/>
    <w:rsid w:val="504C2BE7"/>
    <w:rsid w:val="50D759E8"/>
    <w:rsid w:val="51B50E5A"/>
    <w:rsid w:val="554830C1"/>
    <w:rsid w:val="56B4262E"/>
    <w:rsid w:val="576F2EA8"/>
    <w:rsid w:val="5807041D"/>
    <w:rsid w:val="583F79D3"/>
    <w:rsid w:val="58691989"/>
    <w:rsid w:val="58F960F8"/>
    <w:rsid w:val="599F0979"/>
    <w:rsid w:val="5C1E1084"/>
    <w:rsid w:val="5DEC18B7"/>
    <w:rsid w:val="5EE01EF7"/>
    <w:rsid w:val="60F035C2"/>
    <w:rsid w:val="62B371EA"/>
    <w:rsid w:val="63BE0649"/>
    <w:rsid w:val="63E45615"/>
    <w:rsid w:val="67A41EF7"/>
    <w:rsid w:val="69AD4D95"/>
    <w:rsid w:val="69B54174"/>
    <w:rsid w:val="6A315ABB"/>
    <w:rsid w:val="6A660AE8"/>
    <w:rsid w:val="6A87598F"/>
    <w:rsid w:val="6C55155E"/>
    <w:rsid w:val="6F127F28"/>
    <w:rsid w:val="703849D5"/>
    <w:rsid w:val="711712EF"/>
    <w:rsid w:val="74B57A97"/>
    <w:rsid w:val="7541303A"/>
    <w:rsid w:val="77C81C4C"/>
    <w:rsid w:val="79136B09"/>
    <w:rsid w:val="793439F5"/>
    <w:rsid w:val="796E3D99"/>
    <w:rsid w:val="79ED6ADC"/>
    <w:rsid w:val="7B8D7C88"/>
    <w:rsid w:val="7C252C88"/>
    <w:rsid w:val="7C4F05FF"/>
    <w:rsid w:val="7D48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773</Words>
  <Characters>4409</Characters>
  <Lines>36</Lines>
  <Paragraphs>10</Paragraphs>
  <TotalTime>2</TotalTime>
  <ScaleCrop>false</ScaleCrop>
  <LinksUpToDate>false</LinksUpToDate>
  <CharactersWithSpaces>5172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2021-07-16T08:24:00Z</dcterms:created>
  <dc:creator>e510</dc:creator>
  <cp:lastModifiedBy>海阔天空</cp:lastModifiedBy>
  <cp:lastPrinted>2019-05-06T09:43:00Z</cp:lastPrinted>
  <dcterms:modified xsi:type="dcterms:W3CDTF">2021-07-16T08:28:49Z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E9E544E895B04A32A1E9400A74794596</vt:lpwstr>
  </property>
</Properties>
</file>