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建材公司-脱模剂（年度）</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2189</w:t>
      </w:r>
    </w:p>
    <w:p>
      <w:pPr>
        <w:rPr>
          <w:rFonts w:hint="eastAsia" w:ascii="仿宋" w:hAnsi="仿宋" w:eastAsia="仿宋" w:cs="仿宋_GB2312"/>
          <w:b/>
          <w:bCs/>
          <w:sz w:val="32"/>
          <w:szCs w:val="32"/>
        </w:rPr>
      </w:pPr>
    </w:p>
    <w:p>
      <w:pPr>
        <w:rPr>
          <w:rFonts w:ascii="仿宋" w:hAnsi="仿宋" w:eastAsia="仿宋" w:cs="仿宋_GB2312"/>
          <w:b/>
          <w:bCs/>
          <w:sz w:val="32"/>
          <w:szCs w:val="32"/>
          <w:highlight w:val="none"/>
          <w:u w:val="single"/>
        </w:rPr>
      </w:pPr>
      <w:r>
        <w:rPr>
          <w:rFonts w:hint="eastAsia" w:ascii="仿宋" w:hAnsi="仿宋" w:eastAsia="仿宋" w:cs="仿宋_GB2312"/>
          <w:b/>
          <w:bCs/>
          <w:sz w:val="32"/>
          <w:szCs w:val="32"/>
        </w:rPr>
        <w:t>招</w:t>
      </w:r>
      <w:r>
        <w:rPr>
          <w:rFonts w:hint="eastAsia" w:ascii="仿宋" w:hAnsi="仿宋" w:eastAsia="仿宋" w:cs="仿宋_GB2312"/>
          <w:b/>
          <w:bCs/>
          <w:sz w:val="32"/>
          <w:szCs w:val="32"/>
          <w:highlight w:val="none"/>
        </w:rPr>
        <w:t>标公告发布日期：</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17</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任凡</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15656263008</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w:t>
      </w: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12月22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5、开标时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22</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numPr>
          <w:ilvl w:val="0"/>
          <w:numId w:val="2"/>
        </w:numPr>
        <w:ind w:left="1543" w:leftChars="0" w:firstLine="0" w:firstLineChars="0"/>
        <w:rPr>
          <w:rFonts w:hint="default" w:ascii="仿宋" w:hAnsi="仿宋" w:eastAsia="仿宋" w:cs="仿宋_GB2312"/>
          <w:b/>
          <w:bCs/>
          <w:i w:val="0"/>
          <w:iCs w:val="0"/>
          <w:sz w:val="28"/>
          <w:szCs w:val="28"/>
          <w:u w:val="single"/>
          <w:lang w:val="en-US" w:eastAsia="zh-CN"/>
        </w:rPr>
      </w:pPr>
      <w:r>
        <w:rPr>
          <w:rFonts w:hint="eastAsia" w:ascii="仿宋" w:hAnsi="仿宋" w:eastAsia="仿宋" w:cs="仿宋_GB2312"/>
          <w:b/>
          <w:bCs/>
          <w:i w:val="0"/>
          <w:iCs w:val="0"/>
          <w:sz w:val="28"/>
          <w:szCs w:val="28"/>
          <w:u w:val="single"/>
          <w:lang w:val="en-US" w:eastAsia="zh-CN"/>
        </w:rPr>
        <w:t>脱模剂180吨。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numPr>
          <w:ilvl w:val="0"/>
          <w:numId w:val="3"/>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各投标人需在开标之前至铜陵有色建安公司报名。</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w:t>
      </w:r>
      <w:r>
        <w:rPr>
          <w:rFonts w:hint="eastAsia" w:ascii="仿宋_GB2312" w:hAnsi="仿宋_GB2312" w:eastAsia="仿宋_GB2312" w:cs="仿宋_GB2312"/>
          <w:sz w:val="28"/>
          <w:szCs w:val="28"/>
          <w:highlight w:val="none"/>
        </w:rPr>
        <w:t>发布之日起至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12</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21</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jc w:val="both"/>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r>
        <w:rPr>
          <w:rFonts w:hint="eastAsia" w:ascii="仿宋_GB2312" w:hAnsi="仿宋_GB2312" w:eastAsia="仿宋_GB2312" w:cs="仿宋_GB2312"/>
          <w:b/>
          <w:bCs/>
          <w:sz w:val="28"/>
          <w:szCs w:val="28"/>
          <w:u w:val="single"/>
          <w:lang w:val="en-US" w:eastAsia="zh-CN"/>
        </w:rPr>
        <w:t>建材公司脱模剂</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189</w:t>
      </w:r>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w:t>
      </w:r>
      <w:r>
        <w:rPr>
          <w:rFonts w:hint="eastAsia" w:ascii="仿宋" w:hAnsi="仿宋" w:eastAsia="仿宋" w:cs="仿宋_GB2312"/>
          <w:sz w:val="28"/>
          <w:szCs w:val="28"/>
          <w:highlight w:val="none"/>
        </w:rPr>
        <w:t>交的截止时间：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22</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4"/>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5"/>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材料质量要求</w:t>
      </w:r>
    </w:p>
    <w:p>
      <w:pPr>
        <w:numPr>
          <w:ilvl w:val="0"/>
          <w:numId w:val="0"/>
        </w:numPr>
        <w:ind w:firstLine="1400" w:firstLineChars="500"/>
        <w:jc w:val="left"/>
        <w:rPr>
          <w:rFonts w:hint="eastAsia" w:ascii="仿宋" w:hAnsi="仿宋" w:eastAsia="仿宋" w:cs="仿宋_GB2312"/>
          <w:b w:val="0"/>
          <w:bCs w:val="0"/>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1）脱模剂:</w:t>
      </w:r>
    </w:p>
    <w:tbl>
      <w:tblPr>
        <w:tblStyle w:val="46"/>
        <w:tblpPr w:leftFromText="180" w:rightFromText="180" w:vertAnchor="text" w:horzAnchor="page" w:tblpX="1766"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328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restart"/>
            <w:noWrap w:val="0"/>
            <w:vAlign w:val="center"/>
          </w:tcPr>
          <w:p>
            <w:pPr>
              <w:jc w:val="center"/>
              <w:rPr>
                <w:rFonts w:hint="default"/>
                <w:vertAlign w:val="baseline"/>
                <w:lang w:val="en-US" w:eastAsia="zh-CN"/>
              </w:rPr>
            </w:pPr>
            <w:r>
              <w:rPr>
                <w:rFonts w:hint="eastAsia"/>
                <w:vertAlign w:val="baseline"/>
                <w:lang w:val="en-US" w:eastAsia="zh-CN"/>
              </w:rPr>
              <w:t>倾点/℃</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矿油型润滑油      -48℃—-6℃</w:t>
            </w:r>
          </w:p>
        </w:tc>
        <w:tc>
          <w:tcPr>
            <w:tcW w:w="2026" w:type="dxa"/>
            <w:vMerge w:val="restart"/>
            <w:noWrap w:val="0"/>
            <w:vAlign w:val="center"/>
          </w:tcPr>
          <w:p>
            <w:pPr>
              <w:jc w:val="center"/>
              <w:rPr>
                <w:rFonts w:hint="default"/>
                <w:vertAlign w:val="baseline"/>
                <w:lang w:val="en-US" w:eastAsia="zh-CN"/>
              </w:rPr>
            </w:pPr>
            <w:r>
              <w:rPr>
                <w:rFonts w:hint="eastAsia"/>
                <w:vertAlign w:val="baseline"/>
                <w:lang w:val="en-US" w:eastAsia="zh-CN"/>
              </w:rPr>
              <w:t>GB/T 3535—2006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59" w:type="dxa"/>
            <w:vMerge w:val="continue"/>
            <w:noWrap w:val="0"/>
            <w:vAlign w:val="center"/>
          </w:tcPr>
          <w:p>
            <w:pPr>
              <w:jc w:val="center"/>
            </w:pP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燃料油            -33℃—51℃</w:t>
            </w:r>
          </w:p>
        </w:tc>
        <w:tc>
          <w:tcPr>
            <w:tcW w:w="2026" w:type="dxa"/>
            <w:vMerge w:val="continue"/>
            <w:noWrap w:val="0"/>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粘度指数</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1995-1998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noWrap w:val="0"/>
            <w:vAlign w:val="center"/>
          </w:tcPr>
          <w:p>
            <w:pPr>
              <w:jc w:val="center"/>
              <w:rPr>
                <w:rFonts w:hint="default"/>
                <w:vertAlign w:val="baseline"/>
                <w:lang w:val="en-US" w:eastAsia="zh-CN"/>
              </w:rPr>
            </w:pPr>
            <w:r>
              <w:rPr>
                <w:rFonts w:hint="eastAsia"/>
                <w:vertAlign w:val="baseline"/>
                <w:lang w:val="en-US" w:eastAsia="zh-CN"/>
              </w:rPr>
              <w:t>闪点（开口）/℃</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＞139</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GB/T 3536—2008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59" w:type="dxa"/>
            <w:noWrap w:val="0"/>
            <w:vAlign w:val="center"/>
          </w:tcPr>
          <w:p>
            <w:pPr>
              <w:jc w:val="center"/>
              <w:rPr>
                <w:rFonts w:hint="default"/>
                <w:vertAlign w:val="baseline"/>
                <w:lang w:val="en-US" w:eastAsia="zh-CN"/>
              </w:rPr>
            </w:pPr>
            <w:r>
              <w:rPr>
                <w:rFonts w:hint="eastAsia"/>
                <w:vertAlign w:val="baseline"/>
                <w:lang w:val="en-US" w:eastAsia="zh-CN"/>
              </w:rPr>
              <w:t>运动粘度（40℃）/（mm</w:t>
            </w:r>
            <w:r>
              <w:rPr>
                <w:rFonts w:hint="eastAsia"/>
                <w:vertAlign w:val="superscript"/>
                <w:lang w:val="en-US" w:eastAsia="zh-CN"/>
              </w:rPr>
              <w:t>2</w:t>
            </w:r>
            <w:r>
              <w:rPr>
                <w:rFonts w:hint="eastAsia"/>
                <w:vertAlign w:val="baseline"/>
                <w:lang w:val="en-US" w:eastAsia="zh-CN"/>
              </w:rPr>
              <w:t>/s）</w:t>
            </w:r>
          </w:p>
        </w:tc>
        <w:tc>
          <w:tcPr>
            <w:tcW w:w="3288" w:type="dxa"/>
            <w:noWrap w:val="0"/>
            <w:vAlign w:val="center"/>
          </w:tcPr>
          <w:p>
            <w:pPr>
              <w:jc w:val="center"/>
              <w:rPr>
                <w:rFonts w:hint="default"/>
                <w:vertAlign w:val="baseline"/>
                <w:lang w:val="en-US" w:eastAsia="zh-CN"/>
              </w:rPr>
            </w:pPr>
            <w:r>
              <w:rPr>
                <w:rFonts w:hint="eastAsia"/>
                <w:vertAlign w:val="baseline"/>
                <w:lang w:val="en-US" w:eastAsia="zh-CN"/>
              </w:rPr>
              <w:t>＞400</w:t>
            </w:r>
          </w:p>
        </w:tc>
        <w:tc>
          <w:tcPr>
            <w:tcW w:w="2026" w:type="dxa"/>
            <w:noWrap w:val="0"/>
            <w:vAlign w:val="center"/>
          </w:tcPr>
          <w:p>
            <w:pPr>
              <w:jc w:val="center"/>
              <w:rPr>
                <w:rFonts w:hint="default"/>
                <w:vertAlign w:val="baseline"/>
                <w:lang w:val="en-US" w:eastAsia="zh-CN"/>
              </w:rPr>
            </w:pPr>
            <w:r>
              <w:rPr>
                <w:rFonts w:hint="eastAsia"/>
                <w:vertAlign w:val="baseline"/>
                <w:lang w:val="en-US" w:eastAsia="zh-CN"/>
              </w:rPr>
              <w:t>GB 265-1988</w:t>
            </w:r>
          </w:p>
        </w:tc>
      </w:tr>
    </w:tbl>
    <w:p>
      <w:pPr>
        <w:jc w:val="both"/>
        <w:rPr>
          <w:rFonts w:hint="default"/>
          <w:lang w:val="en-US" w:eastAsia="zh-CN"/>
        </w:rPr>
      </w:pPr>
    </w:p>
    <w:p>
      <w:pPr>
        <w:jc w:val="center"/>
        <w:rPr>
          <w:rFonts w:hint="eastAsia"/>
          <w:lang w:val="en-US" w:eastAsia="zh-CN"/>
        </w:rPr>
      </w:pPr>
    </w:p>
    <w:p>
      <w:pPr>
        <w:numPr>
          <w:ilvl w:val="0"/>
          <w:numId w:val="0"/>
        </w:numPr>
        <w:jc w:val="left"/>
        <w:rPr>
          <w:rFonts w:hint="eastAsia" w:ascii="仿宋" w:hAnsi="仿宋" w:eastAsia="仿宋" w:cs="仿宋_GB2312"/>
          <w:b w:val="0"/>
          <w:bCs w:val="0"/>
          <w:sz w:val="28"/>
          <w:szCs w:val="28"/>
          <w:u w:val="single"/>
          <w:lang w:val="en-US" w:eastAsia="zh-CN"/>
        </w:rPr>
      </w:pPr>
    </w:p>
    <w:p>
      <w:pPr>
        <w:ind w:firstLine="1400" w:firstLineChars="500"/>
        <w:jc w:val="left"/>
        <w:rPr>
          <w:rFonts w:hint="eastAsia" w:ascii="仿宋" w:hAnsi="仿宋" w:eastAsia="仿宋" w:cs="仿宋_GB2312"/>
          <w:b w:val="0"/>
          <w:bCs w:val="0"/>
          <w:sz w:val="28"/>
          <w:szCs w:val="28"/>
          <w:u w:val="single"/>
          <w:lang w:val="en-US" w:eastAsia="zh-CN"/>
        </w:rPr>
      </w:pPr>
    </w:p>
    <w:p>
      <w:pPr>
        <w:jc w:val="left"/>
        <w:rPr>
          <w:rFonts w:hint="eastAsia" w:ascii="仿宋" w:hAnsi="仿宋" w:eastAsia="仿宋" w:cs="仿宋_GB2312"/>
          <w:b w:val="0"/>
          <w:bCs w:val="0"/>
          <w:sz w:val="28"/>
          <w:szCs w:val="28"/>
          <w:u w:val="single"/>
          <w:lang w:val="en-US" w:eastAsia="zh-CN"/>
        </w:rPr>
      </w:pP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2、付款方式</w:t>
      </w:r>
    </w:p>
    <w:p>
      <w:pPr>
        <w:ind w:firstLine="560" w:firstLineChars="200"/>
        <w:jc w:val="left"/>
        <w:rPr>
          <w:rFonts w:hint="eastAsia" w:ascii="仿宋" w:hAnsi="仿宋" w:eastAsia="仿宋" w:cs="仿宋_GB2312"/>
          <w:sz w:val="28"/>
          <w:szCs w:val="28"/>
          <w:highlight w:val="cyan"/>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w:t>
      </w:r>
      <w:r>
        <w:rPr>
          <w:rFonts w:hint="eastAsia" w:ascii="仿宋" w:hAnsi="仿宋" w:eastAsia="仿宋" w:cs="仿宋_GB2312"/>
          <w:b w:val="0"/>
          <w:bCs w:val="0"/>
          <w:sz w:val="28"/>
          <w:szCs w:val="28"/>
          <w:highlight w:val="none"/>
          <w:lang w:val="en-US" w:eastAsia="zh-CN"/>
        </w:rPr>
        <w:t>各投标人须</w:t>
      </w:r>
      <w:r>
        <w:rPr>
          <w:rFonts w:hint="eastAsia" w:ascii="仿宋_GB2312" w:hAnsi="仿宋_GB2312" w:eastAsia="仿宋_GB2312" w:cs="仿宋_GB2312"/>
          <w:b w:val="0"/>
          <w:bCs w:val="0"/>
          <w:sz w:val="28"/>
          <w:szCs w:val="28"/>
          <w:highlight w:val="none"/>
        </w:rPr>
        <w:t>在</w:t>
      </w:r>
      <w:r>
        <w:rPr>
          <w:rFonts w:hint="eastAsia" w:ascii="仿宋_GB2312" w:hAnsi="仿宋_GB2312" w:eastAsia="仿宋_GB2312" w:cs="仿宋_GB2312"/>
          <w:b w:val="0"/>
          <w:bCs w:val="0"/>
          <w:sz w:val="28"/>
          <w:szCs w:val="28"/>
          <w:highlight w:val="none"/>
          <w:lang w:val="en-US" w:eastAsia="zh-CN"/>
        </w:rPr>
        <w:t>指定时间</w:t>
      </w:r>
      <w:r>
        <w:rPr>
          <w:rFonts w:hint="eastAsia" w:ascii="仿宋_GB2312" w:hAnsi="仿宋_GB2312" w:eastAsia="仿宋_GB2312" w:cs="仿宋_GB2312"/>
          <w:b w:val="0"/>
          <w:bCs w:val="0"/>
          <w:sz w:val="28"/>
          <w:szCs w:val="28"/>
          <w:highlight w:val="none"/>
        </w:rPr>
        <w:t>前至铜陵有色建安公司报名</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0" w:firstLineChars="200"/>
        <w:rPr>
          <w:rFonts w:ascii="仿宋_GB2312" w:hAnsi="仿宋_GB2312" w:eastAsia="仿宋_GB2312" w:cs="仿宋_GB2312"/>
          <w:b/>
          <w:bCs/>
          <w:sz w:val="28"/>
          <w:szCs w:val="28"/>
        </w:rPr>
      </w:pPr>
      <w:r>
        <w:rPr>
          <w:rFonts w:hint="eastAsia" w:ascii="仿宋" w:hAnsi="仿宋" w:eastAsia="仿宋" w:cs="仿宋_GB2312"/>
          <w:sz w:val="28"/>
          <w:szCs w:val="28"/>
        </w:rPr>
        <w:t>（1）</w:t>
      </w:r>
      <w:r>
        <w:rPr>
          <w:rFonts w:hint="eastAsia" w:ascii="仿宋_GB2312" w:hAnsi="仿宋_GB2312" w:eastAsia="仿宋_GB2312" w:cs="仿宋_GB2312"/>
          <w:sz w:val="28"/>
          <w:szCs w:val="28"/>
        </w:rPr>
        <w:t>投标人法定代表人应在报价单相应位置签字及加盖公章，如经办人不是法人代表，须提供本人身份证复印件、法人身份证复印件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val="en-US" w:eastAsia="zh-CN"/>
        </w:rPr>
        <w:t>投标廉洁承诺书</w:t>
      </w:r>
      <w:r>
        <w:rPr>
          <w:rFonts w:hint="eastAsia" w:ascii="仿宋_GB2312" w:hAnsi="仿宋_GB2312" w:eastAsia="仿宋_GB2312" w:cs="仿宋_GB2312"/>
          <w:sz w:val="28"/>
          <w:szCs w:val="28"/>
          <w:highlight w:val="none"/>
        </w:rPr>
        <w:t>及有法人代表签字的《法人代表授权书》并加盖公章作为</w:t>
      </w:r>
      <w:r>
        <w:rPr>
          <w:rFonts w:hint="eastAsia" w:ascii="仿宋_GB2312" w:hAnsi="仿宋_GB2312" w:eastAsia="仿宋_GB2312" w:cs="仿宋_GB2312"/>
          <w:sz w:val="28"/>
          <w:szCs w:val="28"/>
        </w:rPr>
        <w:t>投标资料的一部分。</w:t>
      </w:r>
      <w:r>
        <w:rPr>
          <w:rFonts w:hint="eastAsia" w:ascii="仿宋_GB2312" w:hAnsi="仿宋_GB2312" w:eastAsia="仿宋_GB2312"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lang w:val="en-US" w:eastAsia="zh-CN"/>
        </w:rPr>
        <w:t>若不符要求视为无效投标</w:t>
      </w:r>
      <w:r>
        <w:rPr>
          <w:rFonts w:hint="eastAsia" w:ascii="仿宋" w:hAnsi="仿宋" w:eastAsia="仿宋" w:cs="仿宋_GB2312"/>
          <w:sz w:val="28"/>
          <w:szCs w:val="28"/>
          <w:lang w:val="en-US" w:eastAsia="zh-CN"/>
        </w:rPr>
        <w:t>。</w:t>
      </w:r>
    </w:p>
    <w:p>
      <w:pPr>
        <w:ind w:firstLine="565" w:firstLineChars="202"/>
        <w:rPr>
          <w:rFonts w:hint="eastAsia" w:ascii="仿宋" w:hAnsi="仿宋" w:eastAsia="仿宋" w:cs="仿宋_GB2312"/>
          <w:b/>
          <w:bCs/>
          <w:sz w:val="28"/>
          <w:szCs w:val="28"/>
          <w:highlight w:val="none"/>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投标人的所有报价</w:t>
      </w:r>
      <w:r>
        <w:rPr>
          <w:rFonts w:hint="eastAsia" w:ascii="仿宋" w:hAnsi="仿宋" w:eastAsia="仿宋" w:cs="仿宋_GB2312"/>
          <w:sz w:val="28"/>
          <w:szCs w:val="28"/>
          <w:highlight w:val="none"/>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highlight w:val="none"/>
        </w:rPr>
        <w:t>为加盖单位公章的打印件</w:t>
      </w:r>
      <w:r>
        <w:rPr>
          <w:rFonts w:hint="eastAsia" w:ascii="仿宋" w:hAnsi="仿宋" w:eastAsia="仿宋" w:cs="仿宋_GB2312"/>
          <w:sz w:val="28"/>
          <w:szCs w:val="28"/>
          <w:highlight w:val="none"/>
          <w:lang w:eastAsia="zh-CN"/>
        </w:rPr>
        <w:t>。</w:t>
      </w:r>
      <w:r>
        <w:rPr>
          <w:rFonts w:hint="eastAsia" w:ascii="仿宋" w:hAnsi="仿宋" w:eastAsia="仿宋" w:cs="仿宋_GB2312"/>
          <w:b/>
          <w:bCs/>
          <w:sz w:val="28"/>
          <w:szCs w:val="28"/>
          <w:highlight w:val="none"/>
        </w:rPr>
        <w:t>以上事项不符合要求的视为无效投标</w:t>
      </w:r>
      <w:r>
        <w:rPr>
          <w:rFonts w:hint="eastAsia" w:ascii="仿宋" w:hAnsi="仿宋" w:eastAsia="仿宋" w:cs="仿宋_GB2312"/>
          <w:b/>
          <w:bCs/>
          <w:sz w:val="28"/>
          <w:szCs w:val="28"/>
          <w:highlight w:val="none"/>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single"/>
        </w:rPr>
        <w:t>本次招标的材料由中标人负责运输。运输过程中未按相关安全、环保等要求所导致的一切安全</w:t>
      </w:r>
      <w:r>
        <w:rPr>
          <w:rFonts w:hint="eastAsia" w:ascii="仿宋" w:hAnsi="仿宋" w:eastAsia="仿宋" w:cs="仿宋_GB2312"/>
          <w:sz w:val="28"/>
          <w:szCs w:val="28"/>
          <w:highlight w:val="none"/>
          <w:u w:val="single"/>
          <w:lang w:eastAsia="zh-CN"/>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highlight w:val="none"/>
          <w:u w:val="single"/>
          <w14:textFill>
            <w14:solidFill>
              <w14:schemeClr w14:val="tx1"/>
            </w14:solidFill>
          </w14:textFill>
        </w:rPr>
        <w:t>事故由中标人</w:t>
      </w:r>
      <w:r>
        <w:rPr>
          <w:rFonts w:hint="eastAsia" w:ascii="仿宋" w:hAnsi="仿宋" w:eastAsia="仿宋" w:cs="仿宋_GB2312"/>
          <w:sz w:val="28"/>
          <w:szCs w:val="28"/>
          <w:highlight w:val="none"/>
          <w:u w:val="single"/>
        </w:rPr>
        <w:t>承担责任。</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915" w:firstLineChars="327"/>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w:t>
      </w:r>
      <w:r>
        <w:rPr>
          <w:rFonts w:hint="eastAsia" w:ascii="仿宋" w:hAnsi="仿宋" w:eastAsia="仿宋" w:cs="仿宋_GB2312"/>
          <w:sz w:val="28"/>
          <w:szCs w:val="28"/>
          <w:highlight w:val="none"/>
          <w:u w:val="single"/>
          <w:lang w:val="en-US" w:eastAsia="zh-CN"/>
        </w:rPr>
        <w:t>建材</w:t>
      </w:r>
      <w:r>
        <w:rPr>
          <w:rFonts w:hint="eastAsia" w:ascii="仿宋" w:hAnsi="仿宋" w:eastAsia="仿宋" w:cs="仿宋_GB2312"/>
          <w:sz w:val="28"/>
          <w:szCs w:val="28"/>
          <w:highlight w:val="none"/>
          <w:u w:val="single"/>
        </w:rPr>
        <w:t>公司实际验收数量和理论换算量方式确认数量结算。</w:t>
      </w:r>
    </w:p>
    <w:p>
      <w:pPr>
        <w:numPr>
          <w:ilvl w:val="0"/>
          <w:numId w:val="0"/>
        </w:numPr>
        <w:ind w:firstLine="560" w:firstLineChars="200"/>
        <w:rPr>
          <w:rFonts w:hint="eastAsia" w:ascii="仿宋_GB2312" w:hAnsi="仿宋_GB2312" w:eastAsia="仿宋_GB2312" w:cs="仿宋_GB2312"/>
          <w:sz w:val="28"/>
          <w:szCs w:val="28"/>
          <w:highlight w:val="none"/>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的预估量，合同执行时间为2021年12月22日至2022</w:t>
      </w:r>
      <w:bookmarkStart w:id="0" w:name="_GoBack"/>
      <w:bookmarkEnd w:id="0"/>
      <w:r>
        <w:rPr>
          <w:rFonts w:hint="eastAsia" w:ascii="仿宋" w:hAnsi="仿宋" w:eastAsia="仿宋" w:cs="仿宋_GB2312"/>
          <w:sz w:val="28"/>
          <w:szCs w:val="28"/>
          <w:u w:val="none"/>
          <w:lang w:val="en-US" w:eastAsia="zh-CN"/>
        </w:rPr>
        <w:t>年12月21日（按需方通知分批供货），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9、本次招标设置最高</w:t>
      </w:r>
      <w:r>
        <w:rPr>
          <w:rFonts w:hint="eastAsia" w:ascii="仿宋" w:hAnsi="仿宋" w:eastAsia="仿宋" w:cs="仿宋_GB2312"/>
          <w:b w:val="0"/>
          <w:bCs w:val="0"/>
          <w:sz w:val="28"/>
          <w:szCs w:val="28"/>
          <w:lang w:val="en-US" w:eastAsia="zh-CN"/>
        </w:rPr>
        <w:t>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hint="eastAsia" w:ascii="仿宋" w:hAnsi="仿宋" w:eastAsia="仿宋" w:cs="仿宋_GB2312"/>
          <w:b/>
          <w:sz w:val="36"/>
          <w:szCs w:val="36"/>
          <w:lang w:val="en-US"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sz w:val="24"/>
        </w:rPr>
      </w:pPr>
      <w:r>
        <w:rPr>
          <w:rFonts w:hint="eastAsia"/>
          <w:sz w:val="24"/>
        </w:rPr>
        <w:t>年   月   日</w:t>
      </w:r>
    </w:p>
    <w:p>
      <w:pPr>
        <w:spacing w:before="156" w:beforeLines="50" w:after="156" w:afterLines="50" w:line="360" w:lineRule="auto"/>
        <w:ind w:firstLine="5520" w:firstLineChars="2300"/>
        <w:rPr>
          <w:rFonts w:hint="eastAsia"/>
          <w:sz w:val="24"/>
        </w:rPr>
      </w:pPr>
    </w:p>
    <w:p>
      <w:pPr>
        <w:jc w:val="both"/>
        <w:rPr>
          <w:rFonts w:hint="eastAsia" w:ascii="仿宋" w:hAnsi="仿宋" w:eastAsia="仿宋" w:cs="仿宋_GB2312"/>
          <w:b/>
          <w:sz w:val="36"/>
          <w:szCs w:val="36"/>
        </w:rPr>
      </w:pPr>
    </w:p>
    <w:p>
      <w:pPr>
        <w:jc w:val="center"/>
        <w:rPr>
          <w:rFonts w:hint="eastAsia" w:ascii="仿宋" w:hAnsi="仿宋" w:eastAsia="仿宋"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、投标廉洁</w:t>
      </w:r>
      <w:r>
        <w:rPr>
          <w:rFonts w:hint="eastAsia" w:ascii="仿宋" w:hAnsi="仿宋" w:eastAsia="仿宋" w:cs="仿宋_GB2312"/>
          <w:b/>
          <w:bCs/>
          <w:sz w:val="36"/>
          <w:szCs w:val="36"/>
        </w:rPr>
        <w:t>承诺书</w:t>
      </w:r>
    </w:p>
    <w:p>
      <w:pPr>
        <w:spacing w:line="520" w:lineRule="exact"/>
        <w:ind w:firstLine="560" w:firstLineChars="200"/>
        <w:rPr>
          <w:rFonts w:hint="eastAsia" w:ascii="仿宋" w:hAnsi="仿宋" w:eastAsia="仿宋" w:cs="仿宋_GB2312"/>
          <w:sz w:val="28"/>
          <w:szCs w:val="28"/>
        </w:rPr>
      </w:pPr>
    </w:p>
    <w:p>
      <w:pPr>
        <w:spacing w:line="52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6"/>
        </w:numPr>
        <w:spacing w:line="52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6"/>
        </w:numPr>
        <w:spacing w:line="52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6"/>
        </w:numPr>
        <w:spacing w:line="52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6"/>
        </w:numPr>
        <w:spacing w:line="52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6"/>
        </w:numPr>
        <w:spacing w:line="52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w:t>
      </w:r>
      <w:r>
        <w:rPr>
          <w:rFonts w:hint="eastAsia" w:ascii="仿宋" w:hAnsi="仿宋" w:eastAsia="仿宋" w:cs="仿宋_GB2312"/>
          <w:sz w:val="28"/>
          <w:szCs w:val="28"/>
          <w:lang w:eastAsia="zh-CN"/>
        </w:rPr>
        <w:t>、</w:t>
      </w:r>
      <w:r>
        <w:rPr>
          <w:rFonts w:hint="eastAsia" w:ascii="仿宋" w:hAnsi="仿宋" w:eastAsia="仿宋" w:cs="仿宋_GB2312"/>
          <w:sz w:val="28"/>
          <w:szCs w:val="28"/>
        </w:rPr>
        <w:t>供货时间</w:t>
      </w:r>
      <w:r>
        <w:rPr>
          <w:rFonts w:hint="eastAsia" w:ascii="仿宋" w:hAnsi="仿宋" w:eastAsia="仿宋" w:cs="仿宋_GB2312"/>
          <w:sz w:val="28"/>
          <w:szCs w:val="28"/>
          <w:lang w:val="en-US" w:eastAsia="zh-CN"/>
        </w:rPr>
        <w:t>及安全问题</w:t>
      </w:r>
      <w:r>
        <w:rPr>
          <w:rFonts w:hint="eastAsia" w:ascii="仿宋" w:hAnsi="仿宋" w:eastAsia="仿宋" w:cs="仿宋_GB2312"/>
          <w:sz w:val="28"/>
          <w:szCs w:val="28"/>
        </w:rPr>
        <w:t>符合贵公司要求。如果由于材料本身的数量、质量</w:t>
      </w:r>
      <w:r>
        <w:rPr>
          <w:rFonts w:hint="eastAsia" w:ascii="仿宋" w:hAnsi="仿宋" w:eastAsia="仿宋" w:cs="仿宋_GB2312"/>
          <w:sz w:val="28"/>
          <w:szCs w:val="28"/>
          <w:lang w:eastAsia="zh-CN"/>
        </w:rPr>
        <w:t>、</w:t>
      </w:r>
      <w:r>
        <w:rPr>
          <w:rFonts w:hint="eastAsia" w:ascii="仿宋" w:hAnsi="仿宋" w:eastAsia="仿宋" w:cs="仿宋_GB2312"/>
          <w:sz w:val="28"/>
          <w:szCs w:val="28"/>
        </w:rPr>
        <w:t>供货时间</w:t>
      </w:r>
      <w:r>
        <w:rPr>
          <w:rFonts w:hint="eastAsia" w:ascii="仿宋" w:hAnsi="仿宋" w:eastAsia="仿宋" w:cs="仿宋_GB2312"/>
          <w:sz w:val="28"/>
          <w:szCs w:val="28"/>
          <w:lang w:val="en-US" w:eastAsia="zh-CN"/>
        </w:rPr>
        <w:t>及安全</w:t>
      </w:r>
      <w:r>
        <w:rPr>
          <w:rFonts w:hint="eastAsia" w:ascii="仿宋" w:hAnsi="仿宋" w:eastAsia="仿宋" w:cs="仿宋_GB2312"/>
          <w:sz w:val="28"/>
          <w:szCs w:val="28"/>
        </w:rPr>
        <w:t>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hint="eastAsia" w:ascii="仿宋" w:hAnsi="仿宋" w:eastAsia="仿宋" w:cs="仿宋_GB2312"/>
          <w:color w:val="000000"/>
          <w:sz w:val="28"/>
          <w:szCs w:val="28"/>
          <w:u w:val="single"/>
        </w:rPr>
      </w:pPr>
    </w:p>
    <w:p>
      <w:pPr>
        <w:spacing w:line="520" w:lineRule="exact"/>
        <w:ind w:firstLine="5320" w:firstLineChars="1900"/>
        <w:rPr>
          <w:rFonts w:hint="eastAsia" w:ascii="仿宋" w:hAnsi="仿宋" w:eastAsia="仿宋" w:cs="仿宋_GB2312"/>
          <w:sz w:val="28"/>
          <w:szCs w:val="28"/>
        </w:rPr>
      </w:pPr>
    </w:p>
    <w:p>
      <w:pPr>
        <w:spacing w:line="520" w:lineRule="exact"/>
        <w:ind w:firstLine="5320" w:firstLineChars="1900"/>
        <w:rPr>
          <w:rFonts w:hint="eastAsia" w:ascii="仿宋" w:hAnsi="仿宋" w:eastAsia="仿宋" w:cs="仿宋_GB2312"/>
          <w:sz w:val="28"/>
          <w:szCs w:val="28"/>
          <w:u w:val="single"/>
        </w:rPr>
      </w:pPr>
      <w:r>
        <w:rPr>
          <w:rFonts w:hint="eastAsia" w:ascii="仿宋" w:hAnsi="仿宋" w:eastAsia="仿宋" w:cs="仿宋_GB2312"/>
          <w:sz w:val="28"/>
          <w:szCs w:val="28"/>
        </w:rPr>
        <w:t>承诺方签字:_________</w:t>
      </w:r>
      <w:r>
        <w:rPr>
          <w:rFonts w:hint="eastAsia" w:ascii="仿宋" w:hAnsi="仿宋" w:eastAsia="仿宋" w:cs="仿宋_GB2312"/>
          <w:sz w:val="28"/>
          <w:szCs w:val="28"/>
          <w:u w:val="single"/>
        </w:rPr>
        <w:t xml:space="preserve"> </w:t>
      </w:r>
    </w:p>
    <w:p>
      <w:pPr>
        <w:spacing w:line="520" w:lineRule="exact"/>
        <w:ind w:firstLine="5320" w:firstLineChars="1900"/>
        <w:rPr>
          <w:rFonts w:hint="eastAsia"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u w:val="single"/>
        </w:rPr>
        <w:sectPr>
          <w:headerReference r:id="rId3" w:type="default"/>
          <w:footerReference r:id="rId4" w:type="default"/>
          <w:pgSz w:w="11906" w:h="16838"/>
          <w:pgMar w:top="1588" w:right="1474" w:bottom="1588" w:left="1588" w:header="851" w:footer="272" w:gutter="284"/>
          <w:cols w:space="720" w:num="1"/>
          <w:docGrid w:type="lines" w:linePitch="312" w:charSpace="0"/>
        </w:sectPr>
      </w:pPr>
      <w:r>
        <w:rPr>
          <w:rFonts w:hint="eastAsia" w:ascii="仿宋" w:hAnsi="仿宋" w:eastAsia="仿宋" w:cs="仿宋_GB2312"/>
          <w:sz w:val="28"/>
          <w:szCs w:val="28"/>
        </w:rPr>
        <w:t xml:space="preserve">                      日期：</w:t>
      </w:r>
    </w:p>
    <w:p>
      <w:pPr>
        <w:spacing w:before="156" w:beforeLines="50" w:after="156" w:afterLines="50" w:line="360" w:lineRule="auto"/>
        <w:rPr>
          <w:rFonts w:hint="eastAsia"/>
          <w:sz w:val="24"/>
        </w:rPr>
      </w:pP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2189</w:t>
      </w:r>
      <w:r>
        <w:rPr>
          <w:rFonts w:hint="eastAsia" w:ascii="仿宋_GB2312" w:eastAsia="仿宋_GB2312"/>
          <w:b/>
          <w:sz w:val="30"/>
          <w:szCs w:val="30"/>
        </w:rPr>
        <w:t>）</w:t>
      </w:r>
    </w:p>
    <w:tbl>
      <w:tblPr>
        <w:tblStyle w:val="45"/>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71"/>
        <w:gridCol w:w="3824"/>
        <w:gridCol w:w="753"/>
        <w:gridCol w:w="1191"/>
        <w:gridCol w:w="861"/>
        <w:gridCol w:w="1266"/>
        <w:gridCol w:w="901"/>
        <w:gridCol w:w="1550"/>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2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471"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3824"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753"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19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861"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266"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01"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550"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782"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2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4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脱模剂</w:t>
            </w:r>
          </w:p>
        </w:tc>
        <w:tc>
          <w:tcPr>
            <w:tcW w:w="3824" w:type="dxa"/>
            <w:noWrap w:val="0"/>
            <w:vAlign w:val="center"/>
          </w:tcPr>
          <w:p>
            <w:pPr>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矿油型润滑油:-48℃—-6℃；</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燃料油:-33℃—51℃；</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粘度指数＞100;</w:t>
            </w:r>
          </w:p>
          <w:p>
            <w:pPr>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闪点＞139；</w:t>
            </w:r>
          </w:p>
          <w:p>
            <w:pPr>
              <w:jc w:val="center"/>
              <w:rPr>
                <w:rFonts w:hint="default"/>
                <w:vertAlign w:val="baseline"/>
                <w:lang w:val="en-US" w:eastAsia="zh-CN"/>
              </w:rPr>
            </w:pPr>
            <w:r>
              <w:rPr>
                <w:rFonts w:hint="eastAsia" w:ascii="仿宋_GB2312" w:eastAsia="仿宋_GB2312"/>
                <w:b w:val="0"/>
                <w:bCs w:val="0"/>
                <w:sz w:val="24"/>
                <w:lang w:val="en-US" w:eastAsia="zh-CN"/>
              </w:rPr>
              <w:t>运动粘度＞400。</w:t>
            </w:r>
          </w:p>
        </w:tc>
        <w:tc>
          <w:tcPr>
            <w:tcW w:w="7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19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180</w:t>
            </w:r>
          </w:p>
        </w:tc>
        <w:tc>
          <w:tcPr>
            <w:tcW w:w="861" w:type="dxa"/>
            <w:noWrap w:val="0"/>
            <w:vAlign w:val="center"/>
          </w:tcPr>
          <w:p>
            <w:pPr>
              <w:jc w:val="center"/>
              <w:rPr>
                <w:rFonts w:hint="eastAsia" w:ascii="仿宋_GB2312" w:eastAsia="仿宋_GB2312"/>
                <w:sz w:val="24"/>
              </w:rPr>
            </w:pPr>
          </w:p>
        </w:tc>
        <w:tc>
          <w:tcPr>
            <w:tcW w:w="1266" w:type="dxa"/>
            <w:noWrap w:val="0"/>
            <w:vAlign w:val="center"/>
          </w:tcPr>
          <w:p>
            <w:pPr>
              <w:jc w:val="center"/>
              <w:rPr>
                <w:rFonts w:hint="eastAsia" w:ascii="仿宋_GB2312" w:eastAsia="仿宋_GB2312"/>
                <w:sz w:val="24"/>
              </w:rPr>
            </w:pPr>
          </w:p>
        </w:tc>
        <w:tc>
          <w:tcPr>
            <w:tcW w:w="90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550" w:type="dxa"/>
            <w:noWrap w:val="0"/>
            <w:vAlign w:val="center"/>
          </w:tcPr>
          <w:p>
            <w:pPr>
              <w:widowControl w:val="0"/>
              <w:jc w:val="center"/>
              <w:rPr>
                <w:rFonts w:hint="eastAsia" w:ascii="仿宋_GB2312" w:eastAsia="仿宋_GB2312"/>
                <w:sz w:val="24"/>
              </w:rPr>
            </w:pPr>
          </w:p>
        </w:tc>
        <w:tc>
          <w:tcPr>
            <w:tcW w:w="2782" w:type="dxa"/>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427" w:type="dxa"/>
            <w:noWrap w:val="0"/>
            <w:vAlign w:val="center"/>
          </w:tcPr>
          <w:p>
            <w:pPr>
              <w:jc w:val="center"/>
              <w:rPr>
                <w:rFonts w:hint="eastAsia" w:ascii="仿宋_GB2312" w:eastAsia="仿宋_GB2312"/>
                <w:sz w:val="24"/>
                <w:lang w:val="en-US" w:eastAsia="zh-CN"/>
              </w:rPr>
            </w:pPr>
          </w:p>
        </w:tc>
        <w:tc>
          <w:tcPr>
            <w:tcW w:w="1471"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3824" w:type="dxa"/>
            <w:noWrap w:val="0"/>
            <w:vAlign w:val="center"/>
          </w:tcPr>
          <w:p>
            <w:pPr>
              <w:jc w:val="center"/>
              <w:rPr>
                <w:rFonts w:hint="eastAsia" w:ascii="仿宋_GB2312" w:eastAsia="仿宋_GB2312"/>
                <w:sz w:val="24"/>
                <w:lang w:val="en-US" w:eastAsia="zh-CN"/>
              </w:rPr>
            </w:pPr>
          </w:p>
        </w:tc>
        <w:tc>
          <w:tcPr>
            <w:tcW w:w="753" w:type="dxa"/>
            <w:noWrap w:val="0"/>
            <w:vAlign w:val="center"/>
          </w:tcPr>
          <w:p>
            <w:pPr>
              <w:jc w:val="center"/>
              <w:rPr>
                <w:rFonts w:hint="eastAsia" w:ascii="仿宋_GB2312" w:eastAsia="仿宋_GB2312"/>
                <w:sz w:val="24"/>
                <w:lang w:eastAsia="zh-CN"/>
              </w:rPr>
            </w:pPr>
          </w:p>
        </w:tc>
        <w:tc>
          <w:tcPr>
            <w:tcW w:w="1191" w:type="dxa"/>
            <w:noWrap w:val="0"/>
            <w:vAlign w:val="center"/>
          </w:tcPr>
          <w:p>
            <w:pPr>
              <w:jc w:val="center"/>
              <w:rPr>
                <w:rFonts w:hint="eastAsia" w:ascii="仿宋_GB2312" w:eastAsia="仿宋_GB2312"/>
                <w:sz w:val="24"/>
                <w:lang w:val="en-US" w:eastAsia="zh-CN"/>
              </w:rPr>
            </w:pPr>
          </w:p>
        </w:tc>
        <w:tc>
          <w:tcPr>
            <w:tcW w:w="861" w:type="dxa"/>
            <w:noWrap w:val="0"/>
            <w:vAlign w:val="center"/>
          </w:tcPr>
          <w:p>
            <w:pPr>
              <w:jc w:val="center"/>
              <w:rPr>
                <w:rFonts w:hint="eastAsia" w:ascii="仿宋_GB2312" w:eastAsia="仿宋_GB2312"/>
                <w:sz w:val="24"/>
              </w:rPr>
            </w:pPr>
          </w:p>
        </w:tc>
        <w:tc>
          <w:tcPr>
            <w:tcW w:w="1266" w:type="dxa"/>
            <w:noWrap w:val="0"/>
            <w:vAlign w:val="center"/>
          </w:tcPr>
          <w:p>
            <w:pPr>
              <w:jc w:val="center"/>
              <w:rPr>
                <w:rFonts w:hint="eastAsia" w:ascii="仿宋_GB2312" w:eastAsia="仿宋_GB2312"/>
                <w:sz w:val="24"/>
              </w:rPr>
            </w:pPr>
          </w:p>
        </w:tc>
        <w:tc>
          <w:tcPr>
            <w:tcW w:w="901" w:type="dxa"/>
            <w:noWrap w:val="0"/>
            <w:vAlign w:val="center"/>
          </w:tcPr>
          <w:p>
            <w:pPr>
              <w:jc w:val="center"/>
              <w:rPr>
                <w:rFonts w:hint="eastAsia" w:ascii="仿宋_GB2312" w:eastAsia="仿宋_GB2312"/>
                <w:sz w:val="24"/>
              </w:rPr>
            </w:pPr>
          </w:p>
        </w:tc>
        <w:tc>
          <w:tcPr>
            <w:tcW w:w="1550" w:type="dxa"/>
            <w:noWrap w:val="0"/>
            <w:vAlign w:val="center"/>
          </w:tcPr>
          <w:p>
            <w:pPr>
              <w:jc w:val="center"/>
              <w:rPr>
                <w:rFonts w:hint="eastAsia" w:ascii="仿宋_GB2312" w:eastAsia="仿宋_GB2312"/>
                <w:sz w:val="24"/>
              </w:rPr>
            </w:pPr>
          </w:p>
        </w:tc>
        <w:tc>
          <w:tcPr>
            <w:tcW w:w="2782"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5026"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ind w:firstLine="240" w:firstLineChars="100"/>
              <w:jc w:val="both"/>
              <w:rPr>
                <w:rFonts w:hint="default" w:ascii="仿宋_GB2312" w:eastAsia="仿宋_GB2312"/>
                <w:sz w:val="24"/>
                <w:lang w:val="en-US" w:eastAsia="zh-CN"/>
              </w:rPr>
            </w:pPr>
          </w:p>
          <w:p>
            <w:pPr>
              <w:numPr>
                <w:ilvl w:val="0"/>
                <w:numId w:val="0"/>
              </w:numPr>
              <w:ind w:firstLine="960" w:firstLineChars="4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66"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028"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4332"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66" w:type="dxa"/>
            <w:gridSpan w:val="5"/>
            <w:vMerge w:val="continue"/>
            <w:noWrap w:val="0"/>
            <w:vAlign w:val="center"/>
          </w:tcPr>
          <w:p>
            <w:pPr>
              <w:rPr>
                <w:rFonts w:hint="eastAsia" w:ascii="仿宋_GB2312" w:eastAsia="仿宋_GB2312"/>
                <w:sz w:val="24"/>
              </w:rPr>
            </w:pPr>
          </w:p>
        </w:tc>
        <w:tc>
          <w:tcPr>
            <w:tcW w:w="2127"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01"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4332"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666" w:type="dxa"/>
            <w:gridSpan w:val="5"/>
            <w:vMerge w:val="continue"/>
            <w:noWrap w:val="0"/>
            <w:vAlign w:val="center"/>
          </w:tcPr>
          <w:p>
            <w:pPr>
              <w:rPr>
                <w:rFonts w:hint="eastAsia" w:ascii="仿宋_GB2312" w:eastAsia="仿宋_GB2312"/>
                <w:sz w:val="24"/>
              </w:rPr>
            </w:pPr>
          </w:p>
        </w:tc>
        <w:tc>
          <w:tcPr>
            <w:tcW w:w="2127" w:type="dxa"/>
            <w:gridSpan w:val="2"/>
            <w:vMerge w:val="continue"/>
            <w:noWrap w:val="0"/>
            <w:vAlign w:val="center"/>
          </w:tcPr>
          <w:p>
            <w:pPr>
              <w:jc w:val="center"/>
              <w:rPr>
                <w:rFonts w:hint="eastAsia" w:ascii="仿宋_GB2312" w:eastAsia="仿宋_GB2312"/>
                <w:sz w:val="24"/>
              </w:rPr>
            </w:pPr>
          </w:p>
        </w:tc>
        <w:tc>
          <w:tcPr>
            <w:tcW w:w="901"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4332"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footerReference r:id="rId6"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3520" cy="201930"/>
          <wp:effectExtent l="0" t="0" r="5080" b="7620"/>
          <wp:docPr id="4" name="图片 1" descr="说明: 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tlys"/>
                  <pic:cNvPicPr>
                    <a:picLocks noChangeAspect="1"/>
                  </pic:cNvPicPr>
                </pic:nvPicPr>
                <pic:blipFill>
                  <a:blip r:embed="rId1"/>
                  <a:stretch>
                    <a:fillRect/>
                  </a:stretch>
                </pic:blipFill>
                <pic:spPr>
                  <a:xfrm>
                    <a:off x="0" y="0"/>
                    <a:ext cx="223520" cy="20193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98542"/>
    <w:multiLevelType w:val="singleLevel"/>
    <w:tmpl w:val="97998542"/>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0B9E6CF"/>
    <w:multiLevelType w:val="singleLevel"/>
    <w:tmpl w:val="60B9E6CF"/>
    <w:lvl w:ilvl="0" w:tentative="0">
      <w:start w:val="1"/>
      <w:numFmt w:val="decimal"/>
      <w:suff w:val="nothing"/>
      <w:lvlText w:val="%1、"/>
      <w:lvlJc w:val="left"/>
    </w:lvl>
  </w:abstractNum>
  <w:abstractNum w:abstractNumId="4">
    <w:nsid w:val="6E8F0FE2"/>
    <w:multiLevelType w:val="singleLevel"/>
    <w:tmpl w:val="6E8F0FE2"/>
    <w:lvl w:ilvl="0" w:tentative="0">
      <w:start w:val="1"/>
      <w:numFmt w:val="decimal"/>
      <w:suff w:val="nothing"/>
      <w:lvlText w:val="%1、"/>
      <w:lvlJc w:val="left"/>
    </w:lvl>
  </w:abstractNum>
  <w:abstractNum w:abstractNumId="5">
    <w:nsid w:val="7CA1E40B"/>
    <w:multiLevelType w:val="singleLevel"/>
    <w:tmpl w:val="7CA1E40B"/>
    <w:lvl w:ilvl="0" w:tentative="0">
      <w:start w:val="1"/>
      <w:numFmt w:val="decimal"/>
      <w:suff w:val="nothing"/>
      <w:lvlText w:val="%1、"/>
      <w:lvlJc w:val="left"/>
      <w:pPr>
        <w:ind w:left="1543" w:leftChars="0" w:firstLine="0" w:firstLineChars="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66200A"/>
    <w:rsid w:val="06830296"/>
    <w:rsid w:val="078F4586"/>
    <w:rsid w:val="08532FCA"/>
    <w:rsid w:val="087B3E41"/>
    <w:rsid w:val="0A5C7401"/>
    <w:rsid w:val="0A671243"/>
    <w:rsid w:val="0B2B537E"/>
    <w:rsid w:val="0B892A41"/>
    <w:rsid w:val="0BC6777D"/>
    <w:rsid w:val="0C6241B2"/>
    <w:rsid w:val="0CFD5D93"/>
    <w:rsid w:val="0D2B4E23"/>
    <w:rsid w:val="0DA4166E"/>
    <w:rsid w:val="0E6968C4"/>
    <w:rsid w:val="0E876D2F"/>
    <w:rsid w:val="0EC82FD7"/>
    <w:rsid w:val="0EEA79E8"/>
    <w:rsid w:val="0F87159E"/>
    <w:rsid w:val="0FD9468C"/>
    <w:rsid w:val="10181623"/>
    <w:rsid w:val="1021796C"/>
    <w:rsid w:val="12214BB2"/>
    <w:rsid w:val="12A820AD"/>
    <w:rsid w:val="141C4B77"/>
    <w:rsid w:val="15983E4B"/>
    <w:rsid w:val="15B5130A"/>
    <w:rsid w:val="166516AF"/>
    <w:rsid w:val="167F6B48"/>
    <w:rsid w:val="179B554D"/>
    <w:rsid w:val="17B54B89"/>
    <w:rsid w:val="17D86D23"/>
    <w:rsid w:val="18AF15FD"/>
    <w:rsid w:val="1A097DD9"/>
    <w:rsid w:val="1A8D7BCD"/>
    <w:rsid w:val="1B59783C"/>
    <w:rsid w:val="1BBF797C"/>
    <w:rsid w:val="1C6F0694"/>
    <w:rsid w:val="1CFD6BF3"/>
    <w:rsid w:val="1DEE2CCA"/>
    <w:rsid w:val="2037683E"/>
    <w:rsid w:val="213C6AFC"/>
    <w:rsid w:val="21AC031E"/>
    <w:rsid w:val="21FE5C45"/>
    <w:rsid w:val="223E7710"/>
    <w:rsid w:val="229E0F7C"/>
    <w:rsid w:val="22FB658D"/>
    <w:rsid w:val="23B966E8"/>
    <w:rsid w:val="24EE5A22"/>
    <w:rsid w:val="25590EC9"/>
    <w:rsid w:val="26320AE7"/>
    <w:rsid w:val="26A26CEB"/>
    <w:rsid w:val="277B43E9"/>
    <w:rsid w:val="29981836"/>
    <w:rsid w:val="299D4A4C"/>
    <w:rsid w:val="2A1902C2"/>
    <w:rsid w:val="2A4D74FB"/>
    <w:rsid w:val="2B3013CD"/>
    <w:rsid w:val="2B77100F"/>
    <w:rsid w:val="2C995D0F"/>
    <w:rsid w:val="2D3E7816"/>
    <w:rsid w:val="2D5B1DD3"/>
    <w:rsid w:val="302E3043"/>
    <w:rsid w:val="30D974B7"/>
    <w:rsid w:val="333663C1"/>
    <w:rsid w:val="336F7BD6"/>
    <w:rsid w:val="33800EB9"/>
    <w:rsid w:val="343C1399"/>
    <w:rsid w:val="34634E47"/>
    <w:rsid w:val="346848DB"/>
    <w:rsid w:val="34CD51E9"/>
    <w:rsid w:val="354F3A99"/>
    <w:rsid w:val="35647FBB"/>
    <w:rsid w:val="357B16F3"/>
    <w:rsid w:val="36050FAB"/>
    <w:rsid w:val="363937C3"/>
    <w:rsid w:val="368D196C"/>
    <w:rsid w:val="36D672C3"/>
    <w:rsid w:val="380C6F18"/>
    <w:rsid w:val="38182E0F"/>
    <w:rsid w:val="383303B2"/>
    <w:rsid w:val="3A3173ED"/>
    <w:rsid w:val="3B076549"/>
    <w:rsid w:val="3C1439C6"/>
    <w:rsid w:val="3C5B75D3"/>
    <w:rsid w:val="3C7823C8"/>
    <w:rsid w:val="3CCB1110"/>
    <w:rsid w:val="3D08468D"/>
    <w:rsid w:val="3DBC2399"/>
    <w:rsid w:val="3DCC4487"/>
    <w:rsid w:val="3E474521"/>
    <w:rsid w:val="3E6F69C8"/>
    <w:rsid w:val="3EC82979"/>
    <w:rsid w:val="3FD1339B"/>
    <w:rsid w:val="3FDE08C1"/>
    <w:rsid w:val="417D2793"/>
    <w:rsid w:val="417E4128"/>
    <w:rsid w:val="41B46B47"/>
    <w:rsid w:val="424B79E0"/>
    <w:rsid w:val="42B6751B"/>
    <w:rsid w:val="430845A2"/>
    <w:rsid w:val="434963F7"/>
    <w:rsid w:val="439F612A"/>
    <w:rsid w:val="441344E9"/>
    <w:rsid w:val="44842956"/>
    <w:rsid w:val="44B922E9"/>
    <w:rsid w:val="44F42E3B"/>
    <w:rsid w:val="465E02D2"/>
    <w:rsid w:val="46D84831"/>
    <w:rsid w:val="479D173C"/>
    <w:rsid w:val="499D4ACB"/>
    <w:rsid w:val="4C660503"/>
    <w:rsid w:val="4E72741D"/>
    <w:rsid w:val="4E822997"/>
    <w:rsid w:val="4ED20DFA"/>
    <w:rsid w:val="4F0F5DA2"/>
    <w:rsid w:val="4F306E70"/>
    <w:rsid w:val="4F397E6D"/>
    <w:rsid w:val="504C2BE7"/>
    <w:rsid w:val="50A426AD"/>
    <w:rsid w:val="50B3584C"/>
    <w:rsid w:val="50F251D7"/>
    <w:rsid w:val="515D197F"/>
    <w:rsid w:val="51B50E5A"/>
    <w:rsid w:val="52A62484"/>
    <w:rsid w:val="53B91166"/>
    <w:rsid w:val="54573D69"/>
    <w:rsid w:val="545A509F"/>
    <w:rsid w:val="5490274C"/>
    <w:rsid w:val="554830C1"/>
    <w:rsid w:val="559A58F4"/>
    <w:rsid w:val="55BF127A"/>
    <w:rsid w:val="568367ED"/>
    <w:rsid w:val="56B4262E"/>
    <w:rsid w:val="57292C47"/>
    <w:rsid w:val="5807041D"/>
    <w:rsid w:val="58396156"/>
    <w:rsid w:val="583F79D3"/>
    <w:rsid w:val="58691989"/>
    <w:rsid w:val="58D901C4"/>
    <w:rsid w:val="58F960F8"/>
    <w:rsid w:val="59DC5C6A"/>
    <w:rsid w:val="5A0F7943"/>
    <w:rsid w:val="5B142C77"/>
    <w:rsid w:val="5B3C221E"/>
    <w:rsid w:val="5C1E1084"/>
    <w:rsid w:val="5DD82E17"/>
    <w:rsid w:val="5EE01EF7"/>
    <w:rsid w:val="60F035C2"/>
    <w:rsid w:val="61387591"/>
    <w:rsid w:val="61E25FCA"/>
    <w:rsid w:val="63E45615"/>
    <w:rsid w:val="66E87CA1"/>
    <w:rsid w:val="6783747A"/>
    <w:rsid w:val="67BB44D3"/>
    <w:rsid w:val="68076E78"/>
    <w:rsid w:val="69AD4D95"/>
    <w:rsid w:val="6A315ABB"/>
    <w:rsid w:val="6A38444C"/>
    <w:rsid w:val="6A660AE8"/>
    <w:rsid w:val="6A87598F"/>
    <w:rsid w:val="6B851ED6"/>
    <w:rsid w:val="6C421F5D"/>
    <w:rsid w:val="6DD3687C"/>
    <w:rsid w:val="6FA61CA4"/>
    <w:rsid w:val="701C116B"/>
    <w:rsid w:val="703849D5"/>
    <w:rsid w:val="711712EF"/>
    <w:rsid w:val="71776FF6"/>
    <w:rsid w:val="724A4C98"/>
    <w:rsid w:val="725707B9"/>
    <w:rsid w:val="74B57A97"/>
    <w:rsid w:val="770017D6"/>
    <w:rsid w:val="7757254C"/>
    <w:rsid w:val="77C81C4C"/>
    <w:rsid w:val="793439F5"/>
    <w:rsid w:val="796E3D99"/>
    <w:rsid w:val="7A1F70EE"/>
    <w:rsid w:val="7AE32E2F"/>
    <w:rsid w:val="7B8D7C88"/>
    <w:rsid w:val="7B974470"/>
    <w:rsid w:val="7C252C88"/>
    <w:rsid w:val="7C316DE3"/>
    <w:rsid w:val="7D606D40"/>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13</TotalTime>
  <ScaleCrop>false</ScaleCrop>
  <LinksUpToDate>false</LinksUpToDate>
  <CharactersWithSpaces>2489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2021-12-16T07:19:56Z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07F63B4AF8E745029C1C2697E990E9FE</vt:lpwstr>
  </property>
</Properties>
</file>