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5399" w14:textId="77777777" w:rsidR="00B43FBA" w:rsidRDefault="001D024B">
      <w:pPr>
        <w:pStyle w:val="1"/>
        <w:rPr>
          <w:rFonts w:ascii="宋体" w:hAnsi="宋体"/>
          <w:szCs w:val="32"/>
        </w:rPr>
      </w:pPr>
      <w:bookmarkStart w:id="0" w:name="_Toc98917728"/>
      <w:bookmarkStart w:id="1" w:name="_Toc82752354"/>
      <w:bookmarkStart w:id="2" w:name="_Toc98229136"/>
      <w:bookmarkStart w:id="3" w:name="_Toc98917702"/>
      <w:bookmarkStart w:id="4" w:name="_Toc98917676"/>
      <w:bookmarkStart w:id="5" w:name="_Toc472669462"/>
      <w:r>
        <w:rPr>
          <w:rFonts w:hint="eastAsia"/>
        </w:rPr>
        <w:t xml:space="preserve">  </w:t>
      </w:r>
      <w:r>
        <w:rPr>
          <w:rFonts w:hint="eastAsia"/>
        </w:rPr>
        <w:t>舱体通用技术部分</w:t>
      </w:r>
    </w:p>
    <w:p w14:paraId="1B4E0594" w14:textId="77777777" w:rsidR="00B43FBA" w:rsidRDefault="001D024B">
      <w:pPr>
        <w:pStyle w:val="2"/>
        <w:rPr>
          <w:rFonts w:ascii="宋体" w:hAnsi="宋体"/>
          <w:sz w:val="28"/>
          <w:szCs w:val="28"/>
        </w:rPr>
      </w:pPr>
      <w:bookmarkStart w:id="6" w:name="_Toc516149172"/>
      <w:bookmarkStart w:id="7" w:name="_Toc389407315"/>
      <w:r>
        <w:rPr>
          <w:rFonts w:ascii="宋体" w:hAnsi="宋体" w:hint="eastAsia"/>
          <w:sz w:val="28"/>
          <w:szCs w:val="28"/>
        </w:rPr>
        <w:t xml:space="preserve">1.1 </w:t>
      </w:r>
      <w:r>
        <w:rPr>
          <w:rFonts w:ascii="宋体" w:hAnsi="宋体" w:hint="eastAsia"/>
          <w:sz w:val="28"/>
          <w:szCs w:val="28"/>
        </w:rPr>
        <w:t>总则</w:t>
      </w:r>
      <w:bookmarkEnd w:id="6"/>
      <w:bookmarkEnd w:id="7"/>
    </w:p>
    <w:p w14:paraId="1B38AEF2" w14:textId="77777777" w:rsidR="00B43FBA" w:rsidRDefault="001D024B">
      <w:pPr>
        <w:pStyle w:val="a7"/>
        <w:spacing w:line="360" w:lineRule="auto"/>
        <w:rPr>
          <w:rFonts w:hAnsi="宋体"/>
        </w:rPr>
      </w:pPr>
      <w:r>
        <w:rPr>
          <w:rFonts w:hAnsi="宋体" w:hint="eastAsia"/>
          <w:sz w:val="24"/>
        </w:rPr>
        <w:t>预制舱式变电站应遵循的主要标准：</w:t>
      </w:r>
    </w:p>
    <w:p w14:paraId="689C4BE2" w14:textId="6DB66CE7" w:rsidR="00B43FBA" w:rsidRDefault="001D024B">
      <w:pPr>
        <w:spacing w:line="360" w:lineRule="auto"/>
        <w:rPr>
          <w:rFonts w:ascii="宋体" w:hAnsi="宋体"/>
          <w:sz w:val="24"/>
        </w:rPr>
      </w:pPr>
      <w:r>
        <w:rPr>
          <w:rFonts w:ascii="宋体" w:hAnsi="宋体" w:hint="eastAsia"/>
          <w:sz w:val="24"/>
        </w:rPr>
        <w:t>GB/T17467—20</w:t>
      </w:r>
      <w:r>
        <w:rPr>
          <w:rFonts w:ascii="宋体" w:hAnsi="宋体"/>
          <w:sz w:val="24"/>
        </w:rPr>
        <w:t>2</w:t>
      </w:r>
      <w:r>
        <w:rPr>
          <w:rFonts w:ascii="宋体" w:hAnsi="宋体" w:hint="eastAsia"/>
          <w:sz w:val="24"/>
        </w:rPr>
        <w:t xml:space="preserve">0         《高压低压预装式变电站》   </w:t>
      </w:r>
    </w:p>
    <w:p w14:paraId="4F18125D" w14:textId="77777777" w:rsidR="00B43FBA" w:rsidRDefault="001D024B">
      <w:pPr>
        <w:spacing w:line="360" w:lineRule="auto"/>
        <w:rPr>
          <w:rFonts w:ascii="宋体" w:hAnsi="宋体"/>
          <w:sz w:val="24"/>
        </w:rPr>
      </w:pPr>
      <w:r>
        <w:rPr>
          <w:rFonts w:ascii="宋体" w:hAnsi="宋体" w:hint="eastAsia"/>
          <w:sz w:val="24"/>
        </w:rPr>
        <w:t>DL/T5103-2012           《35kV-220kV无人值班变电所设计规程》</w:t>
      </w:r>
    </w:p>
    <w:p w14:paraId="69855DE3" w14:textId="77777777" w:rsidR="00B43FBA" w:rsidRDefault="001D024B">
      <w:pPr>
        <w:spacing w:line="360" w:lineRule="auto"/>
        <w:rPr>
          <w:rFonts w:ascii="宋体" w:hAnsi="宋体"/>
          <w:sz w:val="24"/>
        </w:rPr>
      </w:pPr>
      <w:r>
        <w:rPr>
          <w:rFonts w:ascii="宋体" w:hAnsi="宋体" w:hint="eastAsia"/>
          <w:sz w:val="24"/>
        </w:rPr>
        <w:t>GB50059-2011            《35kV-110kV变电站设计规范》</w:t>
      </w:r>
    </w:p>
    <w:p w14:paraId="3C6FC114" w14:textId="28BEC7C6" w:rsidR="00B43FBA" w:rsidRDefault="001D024B">
      <w:pPr>
        <w:spacing w:line="360" w:lineRule="auto"/>
        <w:rPr>
          <w:rFonts w:ascii="宋体" w:hAnsi="宋体"/>
          <w:sz w:val="24"/>
        </w:rPr>
      </w:pPr>
      <w:r>
        <w:rPr>
          <w:rFonts w:ascii="宋体" w:hAnsi="宋体"/>
          <w:sz w:val="24"/>
        </w:rPr>
        <w:t xml:space="preserve">GB/T50065-2011   </w:t>
      </w:r>
      <w:r>
        <w:rPr>
          <w:rFonts w:ascii="宋体" w:hAnsi="宋体" w:hint="eastAsia"/>
          <w:sz w:val="24"/>
        </w:rPr>
        <w:t xml:space="preserve">      </w:t>
      </w:r>
      <w:r>
        <w:rPr>
          <w:rFonts w:ascii="宋体" w:hAnsi="宋体"/>
          <w:sz w:val="24"/>
        </w:rPr>
        <w:t xml:space="preserve"> 《交流电气装置的接地设计规范》</w:t>
      </w:r>
    </w:p>
    <w:p w14:paraId="264F0086" w14:textId="3A02BF76" w:rsidR="00B43FBA" w:rsidRDefault="001D024B">
      <w:pPr>
        <w:spacing w:line="360" w:lineRule="auto"/>
        <w:rPr>
          <w:rFonts w:ascii="宋体" w:hAnsi="宋体"/>
          <w:sz w:val="24"/>
        </w:rPr>
      </w:pPr>
      <w:r>
        <w:rPr>
          <w:rFonts w:ascii="宋体" w:hAnsi="宋体" w:hint="eastAsia"/>
          <w:sz w:val="24"/>
        </w:rPr>
        <w:t>GB50217-20</w:t>
      </w:r>
      <w:r>
        <w:rPr>
          <w:rFonts w:ascii="宋体" w:hAnsi="宋体"/>
          <w:sz w:val="24"/>
        </w:rPr>
        <w:t>18</w:t>
      </w:r>
      <w:r>
        <w:rPr>
          <w:rFonts w:ascii="宋体" w:hAnsi="宋体" w:hint="eastAsia"/>
          <w:sz w:val="24"/>
        </w:rPr>
        <w:t xml:space="preserve">           </w:t>
      </w:r>
      <w:r>
        <w:rPr>
          <w:rFonts w:ascii="宋体" w:hAnsi="宋体"/>
          <w:sz w:val="24"/>
        </w:rPr>
        <w:t xml:space="preserve"> </w:t>
      </w:r>
      <w:r>
        <w:rPr>
          <w:rFonts w:ascii="宋体" w:hAnsi="宋体" w:hint="eastAsia"/>
          <w:sz w:val="24"/>
        </w:rPr>
        <w:t>《电力工程电缆设计规范》</w:t>
      </w:r>
    </w:p>
    <w:p w14:paraId="3FD3C981" w14:textId="3B54D20D" w:rsidR="00B43FBA" w:rsidRDefault="001D024B">
      <w:pPr>
        <w:spacing w:line="360" w:lineRule="auto"/>
        <w:rPr>
          <w:rFonts w:ascii="宋体" w:hAnsi="宋体"/>
          <w:sz w:val="24"/>
        </w:rPr>
      </w:pPr>
      <w:r>
        <w:rPr>
          <w:rFonts w:ascii="宋体" w:hAnsi="宋体" w:hint="eastAsia"/>
          <w:sz w:val="24"/>
        </w:rPr>
        <w:t>GB50060-20</w:t>
      </w:r>
      <w:r>
        <w:rPr>
          <w:rFonts w:ascii="宋体" w:hAnsi="宋体"/>
          <w:sz w:val="24"/>
        </w:rPr>
        <w:t xml:space="preserve">17 </w:t>
      </w:r>
      <w:r>
        <w:rPr>
          <w:rFonts w:ascii="宋体" w:hAnsi="宋体" w:hint="eastAsia"/>
          <w:sz w:val="24"/>
        </w:rPr>
        <w:t xml:space="preserve">           《3-110kV高压配电装置设计规范》</w:t>
      </w:r>
    </w:p>
    <w:p w14:paraId="3AE635E0" w14:textId="1677E51E" w:rsidR="00B43FBA" w:rsidRDefault="001D024B">
      <w:pPr>
        <w:spacing w:line="360" w:lineRule="auto"/>
        <w:rPr>
          <w:rFonts w:ascii="宋体" w:hAnsi="宋体"/>
          <w:sz w:val="24"/>
        </w:rPr>
      </w:pPr>
      <w:r>
        <w:rPr>
          <w:rFonts w:ascii="宋体" w:hAnsi="宋体"/>
          <w:sz w:val="24"/>
        </w:rPr>
        <w:t xml:space="preserve">GB50116-2013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《火灾自动报警系统设计规范》</w:t>
      </w:r>
    </w:p>
    <w:p w14:paraId="1E050809" w14:textId="77777777" w:rsidR="00B43FBA" w:rsidRDefault="001D024B">
      <w:pPr>
        <w:spacing w:line="360" w:lineRule="auto"/>
        <w:rPr>
          <w:rFonts w:ascii="宋体" w:hAnsi="宋体"/>
          <w:sz w:val="24"/>
        </w:rPr>
      </w:pPr>
      <w:r>
        <w:rPr>
          <w:rFonts w:ascii="宋体" w:hAnsi="宋体" w:hint="eastAsia"/>
          <w:sz w:val="24"/>
        </w:rPr>
        <w:t>DL/T 5390-2014          《发电厂和变电站照明设计技术规定》</w:t>
      </w:r>
    </w:p>
    <w:p w14:paraId="4211F3FF" w14:textId="29D82FAA" w:rsidR="00B43FBA" w:rsidRDefault="001D024B">
      <w:pPr>
        <w:spacing w:line="360" w:lineRule="auto"/>
        <w:rPr>
          <w:rFonts w:ascii="宋体" w:hAnsi="宋体"/>
          <w:sz w:val="24"/>
        </w:rPr>
      </w:pPr>
      <w:r>
        <w:rPr>
          <w:rFonts w:ascii="宋体" w:hAnsi="宋体"/>
          <w:sz w:val="24"/>
        </w:rPr>
        <w:t>GB</w:t>
      </w:r>
      <w:r>
        <w:rPr>
          <w:rFonts w:ascii="宋体" w:hAnsi="宋体" w:hint="eastAsia"/>
          <w:sz w:val="24"/>
        </w:rPr>
        <w:t xml:space="preserve"> </w:t>
      </w:r>
      <w:r>
        <w:rPr>
          <w:rFonts w:ascii="宋体" w:hAnsi="宋体"/>
          <w:sz w:val="24"/>
        </w:rPr>
        <w:t>50</w:t>
      </w:r>
      <w:r>
        <w:rPr>
          <w:rFonts w:ascii="宋体" w:hAnsi="宋体" w:hint="eastAsia"/>
          <w:sz w:val="24"/>
        </w:rPr>
        <w:t>229-20</w:t>
      </w:r>
      <w:r>
        <w:rPr>
          <w:rFonts w:ascii="宋体" w:hAnsi="宋体"/>
          <w:sz w:val="24"/>
        </w:rPr>
        <w:t>19</w:t>
      </w:r>
      <w:r>
        <w:rPr>
          <w:rFonts w:ascii="宋体" w:hAnsi="宋体" w:hint="eastAsia"/>
          <w:sz w:val="24"/>
        </w:rPr>
        <w:t xml:space="preserve">           </w:t>
      </w:r>
      <w:r>
        <w:rPr>
          <w:rFonts w:ascii="宋体" w:hAnsi="宋体"/>
          <w:sz w:val="24"/>
        </w:rPr>
        <w:t>《</w:t>
      </w:r>
      <w:r>
        <w:rPr>
          <w:rFonts w:ascii="宋体" w:hAnsi="宋体" w:hint="eastAsia"/>
          <w:sz w:val="24"/>
        </w:rPr>
        <w:t>火力发电厂与变电站设计防火规范</w:t>
      </w:r>
      <w:r>
        <w:rPr>
          <w:rFonts w:ascii="宋体" w:hAnsi="宋体"/>
          <w:sz w:val="24"/>
        </w:rPr>
        <w:t>》</w:t>
      </w:r>
    </w:p>
    <w:p w14:paraId="45CA565A" w14:textId="77777777" w:rsidR="00B43FBA" w:rsidRDefault="001D024B">
      <w:pPr>
        <w:spacing w:line="360" w:lineRule="auto"/>
        <w:rPr>
          <w:rFonts w:ascii="宋体" w:hAnsi="宋体"/>
          <w:sz w:val="24"/>
        </w:rPr>
      </w:pPr>
      <w:r>
        <w:rPr>
          <w:rFonts w:ascii="宋体" w:hAnsi="宋体"/>
          <w:sz w:val="24"/>
        </w:rPr>
        <w:t>GB</w:t>
      </w:r>
      <w:r>
        <w:rPr>
          <w:rFonts w:ascii="宋体" w:hAnsi="宋体" w:hint="eastAsia"/>
          <w:sz w:val="24"/>
        </w:rPr>
        <w:t xml:space="preserve"> </w:t>
      </w:r>
      <w:r>
        <w:rPr>
          <w:rFonts w:ascii="宋体" w:hAnsi="宋体"/>
          <w:sz w:val="24"/>
        </w:rPr>
        <w:t>50</w:t>
      </w:r>
      <w:r>
        <w:rPr>
          <w:rFonts w:ascii="宋体" w:hAnsi="宋体" w:hint="eastAsia"/>
          <w:sz w:val="24"/>
        </w:rPr>
        <w:t xml:space="preserve">016-2014           </w:t>
      </w:r>
      <w:r>
        <w:rPr>
          <w:rFonts w:ascii="宋体" w:hAnsi="宋体"/>
          <w:sz w:val="24"/>
        </w:rPr>
        <w:t>《</w:t>
      </w:r>
      <w:r>
        <w:rPr>
          <w:rFonts w:ascii="宋体" w:hAnsi="宋体" w:hint="eastAsia"/>
          <w:sz w:val="24"/>
        </w:rPr>
        <w:t>建筑设计防火规范</w:t>
      </w:r>
      <w:r>
        <w:rPr>
          <w:rFonts w:ascii="宋体" w:hAnsi="宋体"/>
          <w:sz w:val="24"/>
        </w:rPr>
        <w:t>》</w:t>
      </w:r>
    </w:p>
    <w:p w14:paraId="7E5F96EE" w14:textId="77777777" w:rsidR="00B43FBA" w:rsidRDefault="001D024B">
      <w:pPr>
        <w:spacing w:line="360" w:lineRule="auto"/>
        <w:rPr>
          <w:rFonts w:ascii="宋体" w:hAnsi="宋体"/>
          <w:sz w:val="24"/>
        </w:rPr>
      </w:pPr>
      <w:r>
        <w:rPr>
          <w:rFonts w:ascii="宋体" w:hAnsi="宋体" w:hint="eastAsia"/>
          <w:sz w:val="24"/>
        </w:rPr>
        <w:t>GB 50011-2010           《建筑抗震设计规范》</w:t>
      </w:r>
    </w:p>
    <w:p w14:paraId="342E194E" w14:textId="77777777" w:rsidR="00B43FBA" w:rsidRDefault="001D024B">
      <w:pPr>
        <w:spacing w:line="360" w:lineRule="auto"/>
        <w:rPr>
          <w:rFonts w:ascii="宋体" w:hAnsi="宋体"/>
          <w:sz w:val="24"/>
        </w:rPr>
      </w:pPr>
      <w:r>
        <w:rPr>
          <w:rFonts w:ascii="宋体" w:hAnsi="宋体"/>
          <w:sz w:val="24"/>
        </w:rPr>
        <w:t xml:space="preserve">GB/T 30790.1-2014  </w:t>
      </w:r>
      <w:r>
        <w:rPr>
          <w:rFonts w:ascii="宋体" w:hAnsi="宋体" w:hint="eastAsia"/>
          <w:sz w:val="24"/>
        </w:rPr>
        <w:t xml:space="preserve">   </w:t>
      </w:r>
      <w:r>
        <w:rPr>
          <w:rFonts w:ascii="宋体" w:hAnsi="宋体"/>
          <w:sz w:val="24"/>
        </w:rPr>
        <w:t xml:space="preserve">《色漆和清漆 防护涂料体系对钢结构的防腐蚀保护 </w:t>
      </w:r>
      <w:r>
        <w:rPr>
          <w:rFonts w:ascii="宋体" w:hAnsi="宋体" w:hint="eastAsia"/>
          <w:sz w:val="24"/>
        </w:rPr>
        <w:t xml:space="preserve">               </w:t>
      </w:r>
      <w:r>
        <w:rPr>
          <w:rFonts w:ascii="宋体" w:hAnsi="宋体"/>
          <w:sz w:val="24"/>
        </w:rPr>
        <w:t>第1部分：总则》</w:t>
      </w:r>
    </w:p>
    <w:p w14:paraId="678D8E17" w14:textId="77777777" w:rsidR="00B43FBA" w:rsidRDefault="001D024B">
      <w:pPr>
        <w:spacing w:line="360" w:lineRule="auto"/>
        <w:rPr>
          <w:rFonts w:ascii="宋体" w:hAnsi="宋体"/>
          <w:sz w:val="24"/>
        </w:rPr>
      </w:pPr>
      <w:r>
        <w:rPr>
          <w:rFonts w:ascii="宋体" w:hAnsi="宋体"/>
          <w:sz w:val="24"/>
        </w:rPr>
        <w:t xml:space="preserve">GB/T 30790.4-2014 </w:t>
      </w:r>
      <w:r>
        <w:rPr>
          <w:rFonts w:ascii="宋体" w:hAnsi="宋体" w:hint="eastAsia"/>
          <w:sz w:val="24"/>
        </w:rPr>
        <w:t xml:space="preserve">     </w:t>
      </w:r>
      <w:r>
        <w:rPr>
          <w:rFonts w:ascii="宋体" w:hAnsi="宋体"/>
          <w:sz w:val="24"/>
        </w:rPr>
        <w:t xml:space="preserve"> 《色漆和清漆 防护涂料体系对钢结构的防腐蚀保护 第4部分：表面类型和表面处理》</w:t>
      </w:r>
    </w:p>
    <w:p w14:paraId="3C90F082" w14:textId="77777777" w:rsidR="00B43FBA" w:rsidRDefault="001D024B">
      <w:pPr>
        <w:spacing w:line="360" w:lineRule="auto"/>
        <w:ind w:firstLineChars="200" w:firstLine="482"/>
        <w:jc w:val="left"/>
        <w:rPr>
          <w:rFonts w:ascii="宋体" w:hAnsi="宋体"/>
          <w:b/>
          <w:sz w:val="24"/>
        </w:rPr>
      </w:pPr>
      <w:r>
        <w:rPr>
          <w:rFonts w:ascii="宋体" w:hAnsi="宋体" w:hint="eastAsia"/>
          <w:b/>
          <w:sz w:val="24"/>
        </w:rPr>
        <w:t>技术规范书中标注有★的条款为重要技术要求，投标方需在投标文件中对其做出重点响应。</w:t>
      </w:r>
    </w:p>
    <w:p w14:paraId="1F677123" w14:textId="77777777" w:rsidR="00B43FBA" w:rsidRDefault="001D024B">
      <w:pPr>
        <w:pStyle w:val="2"/>
        <w:rPr>
          <w:rFonts w:ascii="宋体" w:hAnsi="宋体"/>
          <w:sz w:val="28"/>
          <w:szCs w:val="28"/>
        </w:rPr>
      </w:pPr>
      <w:bookmarkStart w:id="8" w:name="_Toc516149173"/>
      <w:bookmarkStart w:id="9" w:name="_Toc389407318"/>
      <w:r>
        <w:rPr>
          <w:rFonts w:ascii="宋体" w:hAnsi="宋体" w:hint="eastAsia"/>
          <w:sz w:val="28"/>
          <w:szCs w:val="28"/>
        </w:rPr>
        <w:t xml:space="preserve">1.2  </w:t>
      </w:r>
      <w:r>
        <w:rPr>
          <w:rFonts w:ascii="宋体" w:hAnsi="宋体" w:hint="eastAsia"/>
          <w:sz w:val="28"/>
          <w:szCs w:val="28"/>
        </w:rPr>
        <w:t>预制舱总体要求</w:t>
      </w:r>
      <w:bookmarkEnd w:id="8"/>
      <w:bookmarkEnd w:id="9"/>
    </w:p>
    <w:p w14:paraId="5E6C113F" w14:textId="77777777" w:rsidR="00B43FBA" w:rsidRDefault="001D024B">
      <w:pPr>
        <w:pStyle w:val="af4"/>
        <w:spacing w:line="360" w:lineRule="auto"/>
        <w:ind w:firstLineChars="0"/>
        <w:rPr>
          <w:rFonts w:ascii="宋体" w:hAnsi="宋体"/>
          <w:sz w:val="24"/>
        </w:rPr>
      </w:pPr>
      <w:r>
        <w:rPr>
          <w:rFonts w:ascii="宋体" w:hAnsi="宋体" w:hint="eastAsia"/>
          <w:sz w:val="24"/>
        </w:rPr>
        <w:t>1.2.1户外运行，要求抗冲击能力强，防盗、防破坏能力强；</w:t>
      </w:r>
    </w:p>
    <w:p w14:paraId="72DE8D4D" w14:textId="77777777" w:rsidR="00B43FBA" w:rsidRDefault="001D024B">
      <w:pPr>
        <w:pStyle w:val="af4"/>
        <w:spacing w:line="360" w:lineRule="auto"/>
        <w:ind w:firstLineChars="0"/>
        <w:rPr>
          <w:rFonts w:ascii="宋体" w:hAnsi="宋体"/>
          <w:sz w:val="24"/>
        </w:rPr>
      </w:pPr>
      <w:r>
        <w:rPr>
          <w:rFonts w:ascii="宋体" w:hAnsi="宋体" w:hint="eastAsia"/>
          <w:sz w:val="24"/>
        </w:rPr>
        <w:t>1.2.2防腐能力强，保证30年不生锈；</w:t>
      </w:r>
    </w:p>
    <w:p w14:paraId="5EDFC6FF" w14:textId="77777777" w:rsidR="00B43FBA" w:rsidRDefault="001D024B">
      <w:pPr>
        <w:pStyle w:val="af4"/>
        <w:spacing w:line="360" w:lineRule="auto"/>
        <w:ind w:left="346" w:firstLineChars="0" w:firstLine="74"/>
        <w:rPr>
          <w:rFonts w:ascii="宋体" w:hAnsi="宋体"/>
          <w:sz w:val="24"/>
        </w:rPr>
      </w:pPr>
      <w:r>
        <w:rPr>
          <w:rFonts w:ascii="宋体" w:hAnsi="宋体" w:hint="eastAsia"/>
          <w:sz w:val="24"/>
        </w:rPr>
        <w:t>1.2.3外形美观、大方、协调；</w:t>
      </w:r>
    </w:p>
    <w:p w14:paraId="49E20093" w14:textId="77777777" w:rsidR="00B43FBA" w:rsidRDefault="001D024B">
      <w:pPr>
        <w:pStyle w:val="af4"/>
        <w:spacing w:line="360" w:lineRule="auto"/>
        <w:ind w:left="346" w:firstLineChars="0" w:firstLine="74"/>
        <w:rPr>
          <w:rFonts w:ascii="宋体" w:hAnsi="宋体"/>
          <w:sz w:val="24"/>
        </w:rPr>
      </w:pPr>
      <w:r>
        <w:rPr>
          <w:rFonts w:ascii="宋体" w:hAnsi="宋体" w:hint="eastAsia"/>
          <w:sz w:val="24"/>
        </w:rPr>
        <w:t>1.2.4密封舱体，防尘、防潮、防凝露；</w:t>
      </w:r>
    </w:p>
    <w:p w14:paraId="7E3CDC5E" w14:textId="77777777" w:rsidR="00B43FBA" w:rsidRDefault="001D024B">
      <w:pPr>
        <w:pStyle w:val="af4"/>
        <w:spacing w:line="360" w:lineRule="auto"/>
        <w:ind w:left="346" w:firstLineChars="0" w:firstLine="74"/>
        <w:rPr>
          <w:rFonts w:ascii="宋体" w:hAnsi="宋体"/>
          <w:sz w:val="24"/>
        </w:rPr>
      </w:pPr>
      <w:r>
        <w:rPr>
          <w:rFonts w:ascii="宋体" w:hAnsi="宋体" w:hint="eastAsia"/>
          <w:sz w:val="24"/>
        </w:rPr>
        <w:t>1.2.5体积小巧，结构紧凑；</w:t>
      </w:r>
    </w:p>
    <w:p w14:paraId="7FDF0199" w14:textId="77777777" w:rsidR="00B43FBA" w:rsidRDefault="001D024B">
      <w:pPr>
        <w:pStyle w:val="2"/>
        <w:rPr>
          <w:rFonts w:ascii="宋体" w:hAnsi="宋体"/>
          <w:sz w:val="28"/>
          <w:szCs w:val="28"/>
        </w:rPr>
      </w:pPr>
      <w:bookmarkStart w:id="10" w:name="_Toc389594626"/>
      <w:bookmarkStart w:id="11" w:name="_Toc179692006"/>
      <w:bookmarkStart w:id="12" w:name="_Toc160685603"/>
      <w:bookmarkStart w:id="13" w:name="_Toc389407320"/>
      <w:bookmarkStart w:id="14" w:name="_Toc161135748"/>
      <w:bookmarkStart w:id="15" w:name="_Toc389597644"/>
      <w:bookmarkStart w:id="16" w:name="_Toc516149174"/>
      <w:r>
        <w:rPr>
          <w:rFonts w:ascii="宋体" w:hAnsi="宋体" w:hint="eastAsia"/>
          <w:sz w:val="28"/>
          <w:szCs w:val="28"/>
        </w:rPr>
        <w:lastRenderedPageBreak/>
        <w:t xml:space="preserve">1.3  </w:t>
      </w:r>
      <w:bookmarkEnd w:id="10"/>
      <w:bookmarkEnd w:id="11"/>
      <w:bookmarkEnd w:id="12"/>
      <w:bookmarkEnd w:id="13"/>
      <w:bookmarkEnd w:id="14"/>
      <w:bookmarkEnd w:id="15"/>
      <w:r>
        <w:rPr>
          <w:rFonts w:ascii="宋体" w:hAnsi="宋体" w:hint="eastAsia"/>
          <w:sz w:val="28"/>
          <w:szCs w:val="28"/>
        </w:rPr>
        <w:t>预制舱性能要求</w:t>
      </w:r>
      <w:bookmarkEnd w:id="16"/>
    </w:p>
    <w:p w14:paraId="294D49BD" w14:textId="77777777" w:rsidR="00B43FBA" w:rsidRDefault="001D024B">
      <w:pPr>
        <w:pStyle w:val="2"/>
        <w:numPr>
          <w:ilvl w:val="2"/>
          <w:numId w:val="2"/>
        </w:numPr>
        <w:rPr>
          <w:rFonts w:ascii="宋体" w:hAnsi="宋体"/>
          <w:sz w:val="28"/>
          <w:szCs w:val="28"/>
        </w:rPr>
      </w:pPr>
      <w:bookmarkStart w:id="17" w:name="_Toc516149175"/>
      <w:r>
        <w:rPr>
          <w:rFonts w:ascii="宋体" w:hAnsi="宋体" w:hint="eastAsia"/>
          <w:sz w:val="28"/>
          <w:szCs w:val="28"/>
        </w:rPr>
        <w:t>整体要求</w:t>
      </w:r>
      <w:bookmarkEnd w:id="17"/>
    </w:p>
    <w:p w14:paraId="15129494" w14:textId="77777777" w:rsidR="00B43FBA" w:rsidRDefault="001D024B">
      <w:pPr>
        <w:pStyle w:val="af4"/>
        <w:spacing w:line="360" w:lineRule="auto"/>
        <w:ind w:left="345" w:firstLineChars="0" w:firstLine="0"/>
        <w:rPr>
          <w:rFonts w:ascii="宋体" w:hAnsi="宋体"/>
          <w:sz w:val="24"/>
        </w:rPr>
      </w:pPr>
      <w:bookmarkStart w:id="18" w:name="_Toc389597645"/>
      <w:bookmarkStart w:id="19" w:name="_Toc389407321"/>
      <w:bookmarkStart w:id="20" w:name="_Toc389594627"/>
      <w:r>
        <w:rPr>
          <w:rFonts w:ascii="宋体" w:hAnsi="宋体" w:hint="eastAsia"/>
          <w:sz w:val="24"/>
        </w:rPr>
        <w:t>1.3.1.1预制舱舱体应保证足够的机械强度和刚度。在起吊、运输和安装时不会变形或损伤，不会因起吊运输对舱体内设备造成的影响；具备良好的抗震性能和抗风性能。</w:t>
      </w:r>
    </w:p>
    <w:p w14:paraId="04DABF18" w14:textId="77777777" w:rsidR="00B43FBA" w:rsidRDefault="001D024B">
      <w:pPr>
        <w:pStyle w:val="af4"/>
        <w:spacing w:line="360" w:lineRule="auto"/>
        <w:ind w:left="345" w:firstLineChars="0" w:firstLine="0"/>
        <w:rPr>
          <w:rFonts w:ascii="宋体" w:hAnsi="宋体"/>
          <w:sz w:val="24"/>
        </w:rPr>
      </w:pPr>
      <w:r>
        <w:rPr>
          <w:rFonts w:ascii="宋体" w:hAnsi="宋体" w:hint="eastAsia"/>
          <w:sz w:val="24"/>
        </w:rPr>
        <w:t>1.3.1.2</w:t>
      </w:r>
      <w:r>
        <w:rPr>
          <w:rFonts w:ascii="宋体" w:hAnsi="宋体" w:hint="eastAsia"/>
          <w:b/>
          <w:sz w:val="24"/>
        </w:rPr>
        <w:t>★</w:t>
      </w:r>
      <w:r>
        <w:rPr>
          <w:rFonts w:ascii="宋体" w:hAnsi="宋体" w:hint="eastAsia"/>
          <w:sz w:val="24"/>
        </w:rPr>
        <w:t>预制舱整体防护等级不低于IP43，具备防尘、防潮、防凝露的效果；舱体内部采用钢板及阻燃绝缘隔板严格分成各个隔室</w:t>
      </w:r>
      <w:r>
        <w:rPr>
          <w:rFonts w:ascii="宋体" w:hAnsi="宋体"/>
          <w:sz w:val="24"/>
        </w:rPr>
        <w:t>,</w:t>
      </w:r>
      <w:r>
        <w:rPr>
          <w:rFonts w:ascii="宋体" w:hAnsi="宋体" w:hint="eastAsia"/>
          <w:sz w:val="24"/>
        </w:rPr>
        <w:t xml:space="preserve"> 各个隔室之间的防护等级为IP40。</w:t>
      </w:r>
    </w:p>
    <w:p w14:paraId="56E1C094" w14:textId="77777777" w:rsidR="00B43FBA" w:rsidRDefault="001D024B">
      <w:pPr>
        <w:pStyle w:val="af4"/>
        <w:spacing w:line="360" w:lineRule="auto"/>
        <w:ind w:firstLineChars="0"/>
        <w:rPr>
          <w:rFonts w:ascii="宋体" w:hAnsi="宋体"/>
          <w:sz w:val="24"/>
        </w:rPr>
      </w:pPr>
      <w:r>
        <w:rPr>
          <w:rFonts w:ascii="宋体" w:hAnsi="宋体" w:hint="eastAsia"/>
          <w:sz w:val="24"/>
        </w:rPr>
        <w:t>1.3.1.3预制舱应具有良好的防腐性能，保证舱体在30年内不锈蚀，其他舱体附件应达到同等的使用寿命水平。</w:t>
      </w:r>
    </w:p>
    <w:p w14:paraId="2DA5C4D5" w14:textId="77777777" w:rsidR="00B43FBA" w:rsidRDefault="001D024B">
      <w:pPr>
        <w:pStyle w:val="af4"/>
        <w:spacing w:line="360" w:lineRule="auto"/>
        <w:ind w:firstLineChars="0"/>
        <w:rPr>
          <w:rFonts w:ascii="宋体" w:hAnsi="宋体"/>
          <w:sz w:val="24"/>
        </w:rPr>
      </w:pPr>
      <w:r>
        <w:rPr>
          <w:rFonts w:ascii="宋体" w:hAnsi="宋体" w:hint="eastAsia"/>
          <w:sz w:val="24"/>
        </w:rPr>
        <w:t>1.3.1.4预制舱应具备良好的隔热保温性能，保证舱体内温差不因外界环境温度变化大范围浮动。</w:t>
      </w:r>
    </w:p>
    <w:p w14:paraId="4B7CFBC4" w14:textId="77777777" w:rsidR="00B43FBA" w:rsidRDefault="001D024B">
      <w:pPr>
        <w:pStyle w:val="af4"/>
        <w:spacing w:line="360" w:lineRule="auto"/>
        <w:ind w:firstLineChars="0"/>
        <w:rPr>
          <w:rFonts w:ascii="宋体" w:hAnsi="宋体"/>
          <w:sz w:val="24"/>
        </w:rPr>
      </w:pPr>
      <w:r>
        <w:rPr>
          <w:rFonts w:ascii="宋体" w:hAnsi="宋体" w:hint="eastAsia"/>
          <w:sz w:val="24"/>
        </w:rPr>
        <w:t>1.3.1.5预制舱设计应不易积尘、积水，舱体顶盖有明显散水坡度，不应小于</w:t>
      </w:r>
      <w:r>
        <w:rPr>
          <w:rFonts w:ascii="宋体" w:hAnsi="宋体"/>
          <w:sz w:val="24"/>
        </w:rPr>
        <w:t>5</w:t>
      </w:r>
      <w:r>
        <w:rPr>
          <w:rFonts w:ascii="宋体" w:hAnsi="宋体" w:hint="eastAsia"/>
          <w:sz w:val="24"/>
        </w:rPr>
        <w:t>%，顶盖边沿应设有滴水沿，防止雨水回流进入舱体。</w:t>
      </w:r>
    </w:p>
    <w:p w14:paraId="14D3669F" w14:textId="77777777" w:rsidR="00B43FBA" w:rsidRDefault="001D024B">
      <w:pPr>
        <w:pStyle w:val="af4"/>
        <w:spacing w:line="360" w:lineRule="auto"/>
        <w:ind w:firstLineChars="0"/>
        <w:rPr>
          <w:rFonts w:ascii="宋体" w:hAnsi="宋体"/>
          <w:sz w:val="24"/>
        </w:rPr>
      </w:pPr>
      <w:r>
        <w:rPr>
          <w:rFonts w:ascii="宋体" w:hAnsi="宋体" w:hint="eastAsia"/>
          <w:sz w:val="24"/>
        </w:rPr>
        <w:t>1.3.1.</w:t>
      </w:r>
      <w:r>
        <w:rPr>
          <w:rFonts w:ascii="宋体" w:hAnsi="宋体"/>
          <w:sz w:val="24"/>
        </w:rPr>
        <w:t>6</w:t>
      </w:r>
      <w:r>
        <w:rPr>
          <w:rFonts w:ascii="宋体" w:hAnsi="宋体" w:hint="eastAsia"/>
          <w:sz w:val="24"/>
        </w:rPr>
        <w:t>预制舱的接地系统符合</w:t>
      </w:r>
      <w:r>
        <w:rPr>
          <w:rFonts w:ascii="宋体" w:hAnsi="宋体"/>
          <w:sz w:val="24"/>
        </w:rPr>
        <w:t xml:space="preserve"> GB/T 50065-2011</w:t>
      </w:r>
      <w:r>
        <w:rPr>
          <w:rFonts w:ascii="宋体" w:hAnsi="宋体" w:hint="eastAsia"/>
          <w:sz w:val="24"/>
        </w:rPr>
        <w:t>《交流电气装置的接地设计规范》等相关标准的要求。</w:t>
      </w:r>
    </w:p>
    <w:p w14:paraId="0D14A221" w14:textId="77777777" w:rsidR="00B43FBA" w:rsidRDefault="001D024B">
      <w:pPr>
        <w:pStyle w:val="af4"/>
        <w:spacing w:line="360" w:lineRule="auto"/>
        <w:ind w:firstLineChars="0"/>
        <w:rPr>
          <w:rFonts w:ascii="宋体" w:hAnsi="宋体"/>
          <w:sz w:val="24"/>
        </w:rPr>
      </w:pPr>
      <w:r>
        <w:rPr>
          <w:rFonts w:ascii="宋体" w:hAnsi="宋体" w:hint="eastAsia"/>
          <w:sz w:val="24"/>
        </w:rPr>
        <w:t>1.3.1.</w:t>
      </w:r>
      <w:r>
        <w:rPr>
          <w:rFonts w:ascii="宋体" w:hAnsi="宋体"/>
          <w:sz w:val="24"/>
        </w:rPr>
        <w:t>7</w:t>
      </w:r>
      <w:r>
        <w:rPr>
          <w:rFonts w:ascii="宋体" w:hAnsi="宋体" w:hint="eastAsia"/>
          <w:sz w:val="24"/>
        </w:rPr>
        <w:t>预制舱内的照明设计应符合DL/T 5390-2014 《发电厂和变电站照明设计技术规定》等相关标准的要求。</w:t>
      </w:r>
    </w:p>
    <w:p w14:paraId="6B9C8096" w14:textId="77777777" w:rsidR="00B43FBA" w:rsidRDefault="001D024B">
      <w:pPr>
        <w:pStyle w:val="af4"/>
        <w:spacing w:line="360" w:lineRule="auto"/>
        <w:ind w:left="345" w:firstLineChars="0" w:firstLine="0"/>
        <w:rPr>
          <w:rFonts w:ascii="宋体" w:hAnsi="宋体"/>
          <w:sz w:val="24"/>
        </w:rPr>
      </w:pPr>
      <w:r>
        <w:rPr>
          <w:rFonts w:ascii="宋体" w:hAnsi="宋体" w:hint="eastAsia"/>
          <w:sz w:val="24"/>
        </w:rPr>
        <w:t>1.3.1.</w:t>
      </w:r>
      <w:r>
        <w:rPr>
          <w:rFonts w:ascii="宋体" w:hAnsi="宋体"/>
          <w:sz w:val="24"/>
        </w:rPr>
        <w:t>8</w:t>
      </w:r>
      <w:r>
        <w:rPr>
          <w:rFonts w:ascii="宋体" w:hAnsi="宋体" w:hint="eastAsia"/>
          <w:sz w:val="24"/>
        </w:rPr>
        <w:t>预制舱应具备良好的隔绝电磁辐射及消音降噪功能，符合GB12348-2008 《工业企业厂界环境噪声排放标准》、《HJ/T 24-1998 500kV超高压送变电工程电磁辐射环境评价技术规范》等相关标准的要求。</w:t>
      </w:r>
    </w:p>
    <w:p w14:paraId="6DFDE7F6" w14:textId="77777777" w:rsidR="00B43FBA" w:rsidRDefault="001D024B">
      <w:pPr>
        <w:pStyle w:val="2"/>
        <w:rPr>
          <w:rFonts w:ascii="宋体" w:hAnsi="宋体"/>
          <w:sz w:val="28"/>
          <w:szCs w:val="28"/>
        </w:rPr>
      </w:pPr>
      <w:bookmarkStart w:id="21" w:name="_Toc516149176"/>
      <w:r>
        <w:rPr>
          <w:rFonts w:ascii="宋体" w:hAnsi="宋体" w:hint="eastAsia"/>
          <w:sz w:val="28"/>
          <w:szCs w:val="28"/>
        </w:rPr>
        <w:t xml:space="preserve">1.3.2 </w:t>
      </w:r>
      <w:r>
        <w:rPr>
          <w:rFonts w:ascii="宋体" w:hAnsi="宋体" w:hint="eastAsia"/>
          <w:sz w:val="28"/>
          <w:szCs w:val="28"/>
        </w:rPr>
        <w:t>关键技术要求</w:t>
      </w:r>
      <w:bookmarkEnd w:id="21"/>
    </w:p>
    <w:p w14:paraId="40B8B0BE" w14:textId="77777777" w:rsidR="00B43FBA" w:rsidRDefault="001D024B">
      <w:pPr>
        <w:pStyle w:val="2"/>
        <w:rPr>
          <w:rFonts w:ascii="宋体" w:hAnsi="宋体"/>
          <w:b w:val="0"/>
          <w:sz w:val="28"/>
          <w:szCs w:val="28"/>
        </w:rPr>
      </w:pPr>
      <w:bookmarkStart w:id="22" w:name="_Toc654"/>
      <w:bookmarkStart w:id="23" w:name="_Toc516149177"/>
      <w:r>
        <w:rPr>
          <w:rFonts w:ascii="宋体" w:hAnsi="宋体" w:hint="eastAsia"/>
          <w:b w:val="0"/>
          <w:sz w:val="28"/>
          <w:szCs w:val="28"/>
        </w:rPr>
        <w:t>1.3.2.1</w:t>
      </w:r>
      <w:bookmarkEnd w:id="22"/>
      <w:r>
        <w:rPr>
          <w:rFonts w:ascii="宋体" w:hAnsi="宋体" w:hint="eastAsia"/>
          <w:b w:val="0"/>
          <w:sz w:val="28"/>
          <w:szCs w:val="28"/>
        </w:rPr>
        <w:t xml:space="preserve"> </w:t>
      </w:r>
      <w:r>
        <w:rPr>
          <w:rFonts w:ascii="宋体" w:hAnsi="宋体" w:hint="eastAsia"/>
          <w:b w:val="0"/>
          <w:sz w:val="28"/>
          <w:szCs w:val="28"/>
        </w:rPr>
        <w:t>预制舱强度</w:t>
      </w:r>
      <w:bookmarkEnd w:id="23"/>
    </w:p>
    <w:p w14:paraId="086143E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1.3.2.1.1  预制舱舱体底架由型钢焊接而成，舱体骨架为焊装一体式结构，主要钢材材质应选用304不锈钢，屈服强度不小于</w:t>
      </w:r>
      <w:r>
        <w:rPr>
          <w:rFonts w:ascii="宋体" w:hAnsi="宋体"/>
          <w:sz w:val="24"/>
        </w:rPr>
        <w:t>235MPa</w:t>
      </w:r>
      <w:r>
        <w:rPr>
          <w:rFonts w:ascii="宋体" w:hAnsi="宋体" w:hint="eastAsia"/>
          <w:sz w:val="24"/>
        </w:rPr>
        <w:t>，应有足够的机械强度</w:t>
      </w:r>
      <w:r>
        <w:rPr>
          <w:rFonts w:ascii="宋体" w:hAnsi="宋体" w:hint="eastAsia"/>
          <w:sz w:val="24"/>
        </w:rPr>
        <w:lastRenderedPageBreak/>
        <w:t>和刚度，在起吊、运输和安装时不会产生变形，GB17467《高低压集成式变电站》防冲击试验要求，并耐受以下的负荷和撞击：</w:t>
      </w:r>
    </w:p>
    <w:p w14:paraId="16772826" w14:textId="77777777" w:rsidR="00B43FBA" w:rsidRDefault="001D024B">
      <w:pPr>
        <w:spacing w:line="360" w:lineRule="auto"/>
        <w:ind w:left="-142" w:firstLineChars="203" w:firstLine="487"/>
        <w:rPr>
          <w:rFonts w:ascii="宋体" w:hAnsi="宋体"/>
          <w:sz w:val="24"/>
        </w:rPr>
      </w:pPr>
      <w:r>
        <w:rPr>
          <w:rFonts w:ascii="宋体" w:hAnsi="宋体" w:hint="eastAsia"/>
          <w:sz w:val="24"/>
        </w:rPr>
        <w:t>a)顶部负荷：最小值为2500N/㎡（树立负荷或其他负荷）；</w:t>
      </w:r>
    </w:p>
    <w:p w14:paraId="744BFFDC" w14:textId="77777777" w:rsidR="00B43FBA" w:rsidRDefault="001D024B">
      <w:pPr>
        <w:spacing w:line="360" w:lineRule="auto"/>
        <w:ind w:left="-142" w:firstLineChars="203" w:firstLine="487"/>
        <w:rPr>
          <w:rFonts w:ascii="宋体" w:hAnsi="宋体"/>
          <w:sz w:val="24"/>
        </w:rPr>
      </w:pPr>
      <w:r>
        <w:rPr>
          <w:rFonts w:ascii="宋体" w:hAnsi="宋体" w:hint="eastAsia"/>
          <w:sz w:val="24"/>
        </w:rPr>
        <w:t>钢结构的顶部载荷为：0.85KN/㎡。</w:t>
      </w:r>
    </w:p>
    <w:p w14:paraId="22A394C2" w14:textId="77777777" w:rsidR="00B43FBA" w:rsidRDefault="001D024B">
      <w:pPr>
        <w:spacing w:line="360" w:lineRule="auto"/>
        <w:ind w:left="420"/>
        <w:rPr>
          <w:rFonts w:ascii="宋体" w:hAnsi="宋体"/>
          <w:sz w:val="24"/>
        </w:rPr>
      </w:pPr>
      <w:r>
        <w:rPr>
          <w:rFonts w:ascii="宋体" w:hAnsi="宋体" w:hint="eastAsia"/>
          <w:sz w:val="24"/>
        </w:rPr>
        <w:t>b）在面板、门和通风口上的外部机械撞击：外部机械撞击的撞击能量为20J，对应的防护等级为GB/T20138的IK10。</w:t>
      </w:r>
    </w:p>
    <w:p w14:paraId="788E9770" w14:textId="77777777" w:rsidR="00B43FBA" w:rsidRDefault="001D024B">
      <w:pPr>
        <w:spacing w:line="360" w:lineRule="auto"/>
        <w:ind w:leftChars="-68" w:left="-143" w:firstLineChars="200" w:firstLine="480"/>
        <w:rPr>
          <w:rFonts w:ascii="宋体" w:hAnsi="宋体"/>
          <w:sz w:val="24"/>
        </w:rPr>
      </w:pPr>
      <w:r>
        <w:rPr>
          <w:rFonts w:ascii="宋体" w:hAnsi="宋体"/>
          <w:sz w:val="24"/>
        </w:rPr>
        <w:t>1.3.2.1.2  预制舱</w:t>
      </w:r>
      <w:r>
        <w:rPr>
          <w:rFonts w:ascii="宋体" w:hAnsi="宋体" w:hint="eastAsia"/>
          <w:sz w:val="24"/>
        </w:rPr>
        <w:t>框架、门板及顶盖均采用304不锈钢钢板，框架钢板和门板厚度不得小于2mm；顶盖外表面钢板厚度不得小于2mm，底板厚度不得小于3mm；不允许使用彩钢板等金属材料拼装式舱体或</w:t>
      </w:r>
      <w:r>
        <w:rPr>
          <w:rFonts w:ascii="宋体" w:hAnsi="宋体"/>
          <w:sz w:val="24"/>
        </w:rPr>
        <w:t>GRC</w:t>
      </w:r>
      <w:r>
        <w:rPr>
          <w:rFonts w:ascii="宋体" w:hAnsi="宋体" w:hint="eastAsia"/>
          <w:sz w:val="24"/>
        </w:rPr>
        <w:t>、金邦板等非金属舱体。</w:t>
      </w:r>
    </w:p>
    <w:p w14:paraId="1154900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3</w:t>
      </w:r>
      <w:r>
        <w:rPr>
          <w:rFonts w:ascii="宋体" w:hAnsi="宋体" w:hint="eastAsia"/>
          <w:sz w:val="24"/>
        </w:rPr>
        <w:t xml:space="preserve">  预制舱设计应符合GB50011-2010《建筑抗震设计规范》等相关标准，满足</w:t>
      </w:r>
      <w:r>
        <w:rPr>
          <w:rFonts w:ascii="宋体" w:hAnsi="宋体"/>
          <w:sz w:val="24"/>
        </w:rPr>
        <w:t>水平加速度0.3（g）</w:t>
      </w:r>
      <w:r>
        <w:rPr>
          <w:rFonts w:ascii="宋体" w:hAnsi="宋体" w:hint="eastAsia"/>
          <w:sz w:val="24"/>
        </w:rPr>
        <w:t>，</w:t>
      </w:r>
      <w:r>
        <w:rPr>
          <w:rFonts w:ascii="宋体" w:hAnsi="宋体"/>
          <w:sz w:val="24"/>
        </w:rPr>
        <w:t>垂直加速度0.15（g）</w:t>
      </w:r>
      <w:r>
        <w:rPr>
          <w:rFonts w:ascii="宋体" w:hAnsi="宋体" w:hint="eastAsia"/>
          <w:sz w:val="24"/>
        </w:rPr>
        <w:t>的抗震要求，抗震设防烈度8度，并提供由专业第三方机构出具的相应的计算说明书或报告。</w:t>
      </w:r>
    </w:p>
    <w:p w14:paraId="742675E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4</w:t>
      </w:r>
      <w:r>
        <w:rPr>
          <w:rFonts w:ascii="宋体" w:hAnsi="宋体" w:hint="eastAsia"/>
          <w:sz w:val="24"/>
        </w:rPr>
        <w:t xml:space="preserve">  预制舱采用断桥技术达到保温效果的同时，应保证舱体足够的机械强度，内外钢板间通过冲压槽孔点焊连接，内衬型钢，设置独立支架，立体结构应根据承载计算设计足够的支撑结构并提供相应的有限元模型结构强度分析报告。</w:t>
      </w:r>
    </w:p>
    <w:p w14:paraId="0286B19C"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5</w:t>
      </w:r>
      <w:r>
        <w:rPr>
          <w:rFonts w:ascii="宋体" w:hAnsi="宋体" w:hint="eastAsia"/>
          <w:sz w:val="24"/>
        </w:rPr>
        <w:t>底座</w:t>
      </w:r>
    </w:p>
    <w:p w14:paraId="04585D4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预制舱的底座结构设计应能承受设备的动静负荷和满足设备操作和维护的最小通道要求。</w:t>
      </w:r>
    </w:p>
    <w:p w14:paraId="4CFE473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 xml:space="preserve">底座材料：    </w:t>
      </w:r>
    </w:p>
    <w:p w14:paraId="51FE7663"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a、所有舱体底座采用优质热轧钢材焊接而成，底板铺设3mm钢板，不能有明显的空鼓，底板与四边主梁连接采用沉头螺栓固定，板与板之间留3mm宽缝隙。并依照需方提供柜体图纸开柜体安装螺孔。</w:t>
      </w:r>
    </w:p>
    <w:p w14:paraId="2A10A31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b、预制舱的底座应有电缆夹层，线缆、铜排采用下走线方式，舱底部需要设置控制电缆槽盒或夹层，电缆夹层高度200mm，电缆、铜排敷设及电缆排列配置遵循常规敷设规定；</w:t>
      </w:r>
    </w:p>
    <w:p w14:paraId="5B4D44C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c、电缆敷设路径应采用电缆桥架或其他电缆固定措施，确保运输过程中电缆固定不移动。</w:t>
      </w:r>
    </w:p>
    <w:p w14:paraId="3E54729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d、二次控制室底部应采用3mm厚镀锌钢板封口，控制舱体地板采用P</w:t>
      </w:r>
      <w:r>
        <w:rPr>
          <w:rFonts w:ascii="宋体" w:hAnsi="宋体"/>
          <w:sz w:val="24"/>
        </w:rPr>
        <w:t>VC</w:t>
      </w:r>
      <w:r>
        <w:rPr>
          <w:rFonts w:ascii="宋体" w:hAnsi="宋体" w:hint="eastAsia"/>
          <w:sz w:val="24"/>
        </w:rPr>
        <w:t>防静</w:t>
      </w:r>
      <w:r>
        <w:rPr>
          <w:rFonts w:ascii="宋体" w:hAnsi="宋体" w:hint="eastAsia"/>
          <w:sz w:val="24"/>
        </w:rPr>
        <w:lastRenderedPageBreak/>
        <w:t>电地板。</w:t>
      </w:r>
    </w:p>
    <w:p w14:paraId="48BBEA3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e、所有预制舱（有静电地板舱体除外）地面需配10kV电压等级及以上的绝缘垫，厚度</w:t>
      </w:r>
      <w:r>
        <w:rPr>
          <w:rFonts w:ascii="宋体" w:hAnsi="宋体"/>
          <w:sz w:val="24"/>
        </w:rPr>
        <w:t>5</w:t>
      </w:r>
      <w:r>
        <w:rPr>
          <w:rFonts w:ascii="宋体" w:hAnsi="宋体" w:hint="eastAsia"/>
          <w:sz w:val="24"/>
        </w:rPr>
        <w:t>mm，绿色，无刺激气味。</w:t>
      </w:r>
    </w:p>
    <w:p w14:paraId="6C14E2A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6</w:t>
      </w:r>
      <w:r>
        <w:rPr>
          <w:rFonts w:ascii="宋体" w:hAnsi="宋体" w:hint="eastAsia"/>
          <w:sz w:val="24"/>
        </w:rPr>
        <w:t>墙</w:t>
      </w:r>
      <w:r>
        <w:rPr>
          <w:rFonts w:ascii="宋体" w:hAnsi="宋体"/>
          <w:sz w:val="24"/>
        </w:rPr>
        <w:t>体</w:t>
      </w:r>
      <w:r>
        <w:rPr>
          <w:rFonts w:ascii="宋体" w:hAnsi="宋体" w:hint="eastAsia"/>
          <w:sz w:val="24"/>
        </w:rPr>
        <w:t>：</w:t>
      </w:r>
    </w:p>
    <w:p w14:paraId="7848BE2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所有舱体框架材料采用：主体结构用材通过计算分析后确定以需方和设计院签字确认的结构、电气图纸为准；墙面材料采用：外墙板采用1.8mm厚的耐候瓦楞板。</w:t>
      </w:r>
    </w:p>
    <w:p w14:paraId="19B36D62"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预制舱骨架整体内外表面平直度允许公差：±5mm。钢焊接不应有高低不齐里外不</w:t>
      </w:r>
      <w:r>
        <w:rPr>
          <w:rFonts w:ascii="宋体" w:hAnsi="宋体"/>
          <w:sz w:val="24"/>
        </w:rPr>
        <w:t>平的现象，应保证水平误差不大于</w:t>
      </w:r>
      <w:r>
        <w:rPr>
          <w:rFonts w:ascii="宋体" w:hAnsi="宋体" w:hint="eastAsia"/>
          <w:sz w:val="24"/>
        </w:rPr>
        <w:t>5</w:t>
      </w:r>
      <w:r>
        <w:rPr>
          <w:rFonts w:ascii="宋体" w:hAnsi="宋体"/>
          <w:sz w:val="24"/>
        </w:rPr>
        <w:t>mm，与框架内外表面平整度不应超过</w:t>
      </w:r>
      <w:r>
        <w:rPr>
          <w:rFonts w:ascii="宋体" w:hAnsi="宋体" w:hint="eastAsia"/>
          <w:sz w:val="24"/>
        </w:rPr>
        <w:t>5</w:t>
      </w:r>
      <w:r>
        <w:rPr>
          <w:rFonts w:ascii="宋体" w:hAnsi="宋体"/>
          <w:sz w:val="24"/>
        </w:rPr>
        <w:t>mm。</w:t>
      </w:r>
    </w:p>
    <w:p w14:paraId="1377F74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安装门的骨架应有额外的加强和密封设计，保证能承受门开闭的动静负荷，保证不会有雨水从门缝渗透进入预制舱。</w:t>
      </w:r>
    </w:p>
    <w:p w14:paraId="7C56653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7</w:t>
      </w:r>
      <w:r>
        <w:rPr>
          <w:rFonts w:ascii="宋体" w:hAnsi="宋体" w:hint="eastAsia"/>
          <w:sz w:val="24"/>
        </w:rPr>
        <w:t>顶盖</w:t>
      </w:r>
    </w:p>
    <w:p w14:paraId="1975C39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顶部框架采用方管型材骨架焊接而成通，顶板铺设2mm冷轧钢板内填充50mm防火保温岩棉，顶板与屋面骨架连接采用焊接，并采用折弯防水工艺确保在顶板不满焊情况下杜绝漏水、渗水等不良现象。</w:t>
      </w:r>
    </w:p>
    <w:p w14:paraId="55DCBB1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顶盖框架应有足够密度的支撑安装吊顶，保证灯具等电气元件（与该项目有关电气元件）挂在顶上的元器件能安装稳固，不会因运输起吊等原因掉落。顶梁下表面应与预制舱骨架满焊连接加强预制舱的整体强度。</w:t>
      </w:r>
    </w:p>
    <w:p w14:paraId="10022F4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预制舱的顶板、吊顶安装时应使所有铆钉横向和纵向的固定成一条直线，整齐一致。安装完成后墙体应无划花、掉漆、凹凸不平等不良现象，表面应平整、稳固、美观。</w:t>
      </w:r>
    </w:p>
    <w:p w14:paraId="3EDCB36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控制设备舱体穿屋顶穿线套管内径不小于25mm镀锌钢管需采用弯90度开口向下的钢管套管并与屋顶板满焊。</w:t>
      </w:r>
    </w:p>
    <w:p w14:paraId="33DB2C8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所有屋盖均需外挑100mm。</w:t>
      </w:r>
    </w:p>
    <w:p w14:paraId="7A47A355"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8</w:t>
      </w:r>
      <w:r>
        <w:rPr>
          <w:rFonts w:ascii="宋体" w:hAnsi="宋体" w:hint="eastAsia"/>
          <w:sz w:val="24"/>
        </w:rPr>
        <w:t>外墙体</w:t>
      </w:r>
    </w:p>
    <w:p w14:paraId="2951FCD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预制舱的墙体为双层防护结构：外层防护墙板、内层钢板。</w:t>
      </w:r>
    </w:p>
    <w:p w14:paraId="333A1792" w14:textId="6C4BD549" w:rsidR="00B43FBA" w:rsidRDefault="001D024B">
      <w:pPr>
        <w:spacing w:line="360" w:lineRule="auto"/>
        <w:ind w:leftChars="-68" w:left="-143" w:firstLineChars="200" w:firstLine="480"/>
        <w:rPr>
          <w:rFonts w:ascii="宋体" w:hAnsi="宋体"/>
          <w:sz w:val="24"/>
        </w:rPr>
      </w:pPr>
      <w:r>
        <w:rPr>
          <w:rFonts w:ascii="宋体" w:hAnsi="宋体" w:hint="eastAsia"/>
          <w:sz w:val="24"/>
        </w:rPr>
        <w:t>1.3.2.1.</w:t>
      </w:r>
      <w:r>
        <w:rPr>
          <w:rFonts w:ascii="宋体" w:hAnsi="宋体"/>
          <w:sz w:val="24"/>
        </w:rPr>
        <w:t>9</w:t>
      </w:r>
      <w:r>
        <w:rPr>
          <w:rFonts w:ascii="宋体" w:hAnsi="宋体" w:hint="eastAsia"/>
          <w:sz w:val="24"/>
        </w:rPr>
        <w:t>预制舱防火保温体系</w:t>
      </w:r>
    </w:p>
    <w:p w14:paraId="56A70FBC"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预制舱的内墙板安装时应使所有横向和纵向的固定成一条直线，整齐一致。安装完成后墙体应无划花、掉漆、凹凸不平等不良现象，表面应平整、稳固、美</w:t>
      </w:r>
      <w:r>
        <w:rPr>
          <w:rFonts w:ascii="宋体" w:hAnsi="宋体" w:hint="eastAsia"/>
          <w:sz w:val="24"/>
        </w:rPr>
        <w:lastRenderedPageBreak/>
        <w:t>观。预制舱防火保温体系</w:t>
      </w:r>
    </w:p>
    <w:p w14:paraId="62137503"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预制舱舱体应运用“冰箱”保温措施与工艺，采用双层夹心结构，（内部填充物采用建设部许可的岩棉防火保温材料，确保整个预制舱的保温和防火性能）。保证达到“24墙”保温功效。</w:t>
      </w:r>
    </w:p>
    <w:p w14:paraId="1F7CEC80"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★供方需保证舱体良好的隔热保温性能并提供在实际工况条件下的测试报告。</w:t>
      </w:r>
    </w:p>
    <w:p w14:paraId="1689C05F"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应保证良好的防火性能，耐火等级二级，所有舱体壁板采用不燃性材料。预制舱舱体壁板需保证内部或者外部着火时的最低性能水平为耐火3小时以上，3小时内舱体外壳具有完整性及防火性；其余舱体外壁板需保证耐火2.5小时以上，2.5小时内舱体外壳具有完整性及防火性。</w:t>
      </w:r>
    </w:p>
    <w:p w14:paraId="3DA5B622"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★供方提供由专业第三方机构出具预制舱壁板防火试验报告。</w:t>
      </w:r>
    </w:p>
    <w:p w14:paraId="194903F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预制舱排烟设计应符合现行国家标准GB50016《建筑设计防火规范》的规定，电气配电装置预制舱应设置机械排烟装置；且当火灾发生时，送、排风系统、空调系统应能自动停止运行。</w:t>
      </w:r>
    </w:p>
    <w:p w14:paraId="212A6E8E"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预制舱消防供电及应急照明设计应符合现行国家标准GB 50229《火力发电厂与变电所设计防火规范》、GB 51309–2018 《消防应急照明和疏散指示系统技术标准》的规定。</w:t>
      </w:r>
    </w:p>
    <w:p w14:paraId="73E0042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预制舱的中层保温墙体</w:t>
      </w:r>
    </w:p>
    <w:p w14:paraId="740CC38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顶部保温：</w:t>
      </w:r>
      <w:r>
        <w:rPr>
          <w:rFonts w:ascii="Segoe UI Symbol" w:hAnsi="Segoe UI Symbol" w:cs="Segoe UI Symbol"/>
          <w:sz w:val="24"/>
        </w:rPr>
        <w:t>☐</w:t>
      </w:r>
      <w:r>
        <w:rPr>
          <w:rFonts w:ascii="宋体" w:hAnsi="宋体" w:hint="eastAsia"/>
          <w:sz w:val="24"/>
        </w:rPr>
        <w:t xml:space="preserve"> 喷涂50mm聚氨酯  </w:t>
      </w:r>
      <w:r>
        <w:rPr>
          <w:rFonts w:ascii="宋体" w:hAnsi="宋体" w:hint="eastAsia"/>
          <w:sz w:val="24"/>
        </w:rPr>
        <w:sym w:font="Wingdings" w:char="F0FE"/>
      </w:r>
      <w:r>
        <w:rPr>
          <w:rFonts w:ascii="宋体" w:hAnsi="宋体"/>
          <w:sz w:val="24"/>
        </w:rPr>
        <w:t xml:space="preserve"> </w:t>
      </w:r>
      <w:r>
        <w:rPr>
          <w:rFonts w:ascii="宋体" w:hAnsi="宋体" w:hint="eastAsia"/>
          <w:sz w:val="24"/>
        </w:rPr>
        <w:t>玻璃棉</w:t>
      </w:r>
    </w:p>
    <w:p w14:paraId="28B51CA2"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墙面保温：</w:t>
      </w:r>
      <w:r>
        <w:rPr>
          <w:rFonts w:ascii="Segoe UI Symbol" w:hAnsi="Segoe UI Symbol" w:cs="Segoe UI Symbol"/>
          <w:sz w:val="24"/>
        </w:rPr>
        <w:t>☐</w:t>
      </w:r>
      <w:r>
        <w:rPr>
          <w:rFonts w:ascii="宋体" w:hAnsi="宋体" w:hint="eastAsia"/>
          <w:sz w:val="24"/>
        </w:rPr>
        <w:t xml:space="preserve">喷涂50mm聚氨酯  </w:t>
      </w:r>
      <w:r>
        <w:rPr>
          <w:rFonts w:ascii="宋体" w:hAnsi="宋体" w:hint="eastAsia"/>
          <w:sz w:val="24"/>
        </w:rPr>
        <w:sym w:font="Wingdings" w:char="F0FE"/>
      </w:r>
      <w:r>
        <w:rPr>
          <w:rFonts w:ascii="宋体" w:hAnsi="宋体" w:hint="eastAsia"/>
          <w:sz w:val="24"/>
        </w:rPr>
        <w:t>玻璃棉</w:t>
      </w:r>
    </w:p>
    <w:p w14:paraId="47183490"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门板保温：</w:t>
      </w:r>
      <w:r>
        <w:rPr>
          <w:rFonts w:ascii="Segoe UI Symbol" w:hAnsi="Segoe UI Symbol" w:cs="Segoe UI Symbol"/>
          <w:sz w:val="24"/>
        </w:rPr>
        <w:t>☐</w:t>
      </w:r>
      <w:r>
        <w:rPr>
          <w:rFonts w:ascii="宋体" w:hAnsi="宋体" w:hint="eastAsia"/>
          <w:sz w:val="24"/>
        </w:rPr>
        <w:t xml:space="preserve">喷涂50mm聚氨酯 </w:t>
      </w:r>
      <w:bookmarkStart w:id="24" w:name="_Hlk96538579"/>
      <w:r>
        <w:rPr>
          <w:rFonts w:ascii="宋体" w:hAnsi="宋体" w:hint="eastAsia"/>
          <w:sz w:val="24"/>
        </w:rPr>
        <w:t xml:space="preserve"> </w:t>
      </w:r>
      <w:r>
        <w:rPr>
          <w:rFonts w:ascii="宋体" w:hAnsi="宋体" w:hint="eastAsia"/>
          <w:sz w:val="24"/>
        </w:rPr>
        <w:sym w:font="Wingdings" w:char="F0FE"/>
      </w:r>
      <w:bookmarkEnd w:id="24"/>
      <w:r>
        <w:rPr>
          <w:rFonts w:ascii="宋体" w:hAnsi="宋体"/>
          <w:sz w:val="24"/>
        </w:rPr>
        <w:t xml:space="preserve"> </w:t>
      </w:r>
      <w:r>
        <w:rPr>
          <w:rFonts w:ascii="宋体" w:hAnsi="宋体" w:hint="eastAsia"/>
          <w:sz w:val="24"/>
        </w:rPr>
        <w:t>玻璃棉</w:t>
      </w:r>
    </w:p>
    <w:p w14:paraId="06A55D9F"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注：玻璃棉：A1级防火材料；聚氨酯：B1级防火材料内掺加阻燃剂。</w:t>
      </w:r>
    </w:p>
    <w:p w14:paraId="1105400E"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舱体内部装饰---需要图纸基本确认后更新</w:t>
      </w:r>
    </w:p>
    <w:p w14:paraId="117721C5" w14:textId="59420503" w:rsidR="00B43FBA" w:rsidRDefault="001D024B">
      <w:pPr>
        <w:spacing w:line="360" w:lineRule="auto"/>
        <w:ind w:leftChars="-68" w:left="-143" w:firstLineChars="200" w:firstLine="480"/>
        <w:rPr>
          <w:rFonts w:ascii="宋体" w:hAnsi="宋体"/>
          <w:sz w:val="24"/>
        </w:rPr>
      </w:pPr>
      <w:r>
        <w:rPr>
          <w:rFonts w:ascii="宋体" w:hAnsi="宋体" w:hint="eastAsia"/>
          <w:sz w:val="24"/>
        </w:rPr>
        <w:t xml:space="preserve">预制舱舱吊顶装修    ： </w:t>
      </w:r>
      <w:r>
        <w:rPr>
          <w:rFonts w:ascii="Segoe UI Symbol" w:hAnsi="Segoe UI Symbol" w:cs="Segoe UI Symbol"/>
          <w:sz w:val="24"/>
        </w:rPr>
        <w:t>☐</w:t>
      </w:r>
      <w:r>
        <w:rPr>
          <w:rFonts w:ascii="宋体" w:hAnsi="宋体" w:hint="eastAsia"/>
          <w:sz w:val="24"/>
        </w:rPr>
        <w:t xml:space="preserve"> 船用板  </w:t>
      </w:r>
      <w:r>
        <w:rPr>
          <w:rFonts w:ascii="宋体" w:hAnsi="宋体"/>
          <w:sz w:val="24"/>
        </w:rPr>
        <w:t xml:space="preserve"> </w:t>
      </w:r>
      <w:r w:rsidR="00435C1A">
        <w:rPr>
          <w:rFonts w:ascii="宋体" w:hAnsi="宋体" w:hint="eastAsia"/>
          <w:sz w:val="24"/>
        </w:rPr>
        <w:t xml:space="preserve"> </w:t>
      </w:r>
      <w:r w:rsidR="00435C1A">
        <w:rPr>
          <w:rFonts w:ascii="Segoe UI Symbol" w:hAnsi="Segoe UI Symbol" w:cs="Segoe UI Symbol"/>
          <w:sz w:val="24"/>
        </w:rPr>
        <w:t>☐</w:t>
      </w:r>
      <w:r>
        <w:rPr>
          <w:rFonts w:ascii="宋体" w:hAnsi="宋体" w:hint="eastAsia"/>
          <w:sz w:val="24"/>
        </w:rPr>
        <w:t xml:space="preserve">1.5mm钢板  </w:t>
      </w:r>
      <w:r w:rsidR="00435C1A">
        <w:rPr>
          <w:rFonts w:ascii="Segoe UI Symbol" w:hAnsi="Segoe UI Symbol" w:cs="Segoe UI Symbol"/>
          <w:sz w:val="24"/>
        </w:rPr>
        <w:t>☐</w:t>
      </w:r>
      <w:r>
        <w:rPr>
          <w:rFonts w:ascii="宋体" w:hAnsi="宋体"/>
          <w:sz w:val="24"/>
        </w:rPr>
        <w:t xml:space="preserve"> </w:t>
      </w:r>
      <w:r>
        <w:rPr>
          <w:rFonts w:ascii="宋体" w:hAnsi="宋体" w:hint="eastAsia"/>
          <w:sz w:val="24"/>
        </w:rPr>
        <w:t>铝扣板</w:t>
      </w:r>
    </w:p>
    <w:p w14:paraId="22573D63"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内墙板确保内墙板机械强度，确保安装应急照明、备用插座、空调、风机等电气原件等而不会发生形变，内板拼接处使用耐候性硅酮密封胶封堵，加强内墙板的强度和密封性，确保内部协调性、美观性。</w:t>
      </w:r>
    </w:p>
    <w:p w14:paraId="07DAC8FF"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 xml:space="preserve"> 门板</w:t>
      </w:r>
    </w:p>
    <w:p w14:paraId="6F5DA3C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预制舱通道门板上需设置“推杠式”紧急逃生门锁，满足人员紧急逃生要求。</w:t>
      </w:r>
      <w:r>
        <w:rPr>
          <w:rFonts w:ascii="宋体" w:hAnsi="宋体" w:hint="eastAsia"/>
          <w:sz w:val="24"/>
        </w:rPr>
        <w:lastRenderedPageBreak/>
        <w:t>门锁需满足防火要求，高可靠，长寿命。</w:t>
      </w:r>
    </w:p>
    <w:p w14:paraId="766195AF"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紧急逃生通道设置醒目的安全出口指示，相关通道指示设备均需考虑应急电源，以保证其可靠指示。</w:t>
      </w:r>
    </w:p>
    <w:p w14:paraId="18B84CFE"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预制舱的门是指由门框、合页、门锁、风勾、紧急逃生杆、密封条等配件组成的整体，预制舱门的配件的材料的应保持一致。</w:t>
      </w:r>
    </w:p>
    <w:p w14:paraId="716E6DD5"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逃生门：</w:t>
      </w:r>
      <w:r>
        <w:rPr>
          <w:rFonts w:ascii="Segoe UI Symbol" w:hAnsi="Segoe UI Symbol" w:cs="Segoe UI Symbol"/>
          <w:sz w:val="24"/>
        </w:rPr>
        <w:t>☐</w:t>
      </w:r>
      <w:r>
        <w:rPr>
          <w:rFonts w:ascii="宋体" w:hAnsi="宋体" w:hint="eastAsia"/>
          <w:sz w:val="24"/>
        </w:rPr>
        <w:t xml:space="preserve"> 瓦楞板门  </w:t>
      </w:r>
      <w:r>
        <w:rPr>
          <w:rFonts w:ascii="宋体" w:hAnsi="宋体"/>
          <w:sz w:val="24"/>
        </w:rPr>
        <w:t xml:space="preserve"> </w:t>
      </w:r>
      <w:r>
        <w:rPr>
          <w:rFonts w:ascii="宋体" w:hAnsi="宋体" w:hint="eastAsia"/>
          <w:sz w:val="24"/>
        </w:rPr>
        <w:t xml:space="preserve">平面门  </w:t>
      </w:r>
      <w:r>
        <w:rPr>
          <w:rFonts w:ascii="Segoe UI Symbol" w:hAnsi="Segoe UI Symbol" w:cs="Segoe UI Symbol"/>
          <w:sz w:val="24"/>
        </w:rPr>
        <w:t>☐</w:t>
      </w:r>
      <w:r>
        <w:rPr>
          <w:rFonts w:ascii="宋体" w:hAnsi="宋体"/>
          <w:sz w:val="24"/>
        </w:rPr>
        <w:t xml:space="preserve"> </w:t>
      </w:r>
      <w:r>
        <w:rPr>
          <w:rFonts w:ascii="宋体" w:hAnsi="宋体" w:hint="eastAsia"/>
          <w:sz w:val="24"/>
        </w:rPr>
        <w:t>移动门</w:t>
      </w:r>
    </w:p>
    <w:p w14:paraId="3478821C"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检修门：</w:t>
      </w:r>
      <w:r>
        <w:rPr>
          <w:rFonts w:ascii="宋体" w:hAnsi="宋体" w:hint="eastAsia"/>
          <w:sz w:val="24"/>
        </w:rPr>
        <w:sym w:font="Wingdings" w:char="00FE"/>
      </w:r>
      <w:r>
        <w:rPr>
          <w:rFonts w:ascii="宋体" w:hAnsi="宋体" w:hint="eastAsia"/>
          <w:sz w:val="24"/>
        </w:rPr>
        <w:t xml:space="preserve">瓦楞板门  </w:t>
      </w:r>
      <w:r>
        <w:rPr>
          <w:rFonts w:ascii="宋体" w:hAnsi="宋体" w:hint="eastAsia"/>
          <w:sz w:val="24"/>
        </w:rPr>
        <w:sym w:font="Wingdings" w:char="00A8"/>
      </w:r>
      <w:r>
        <w:rPr>
          <w:rFonts w:ascii="宋体" w:hAnsi="宋体"/>
          <w:sz w:val="24"/>
        </w:rPr>
        <w:t xml:space="preserve"> </w:t>
      </w:r>
      <w:r>
        <w:rPr>
          <w:rFonts w:ascii="宋体" w:hAnsi="宋体" w:hint="eastAsia"/>
          <w:sz w:val="24"/>
        </w:rPr>
        <w:t xml:space="preserve">平面门  </w:t>
      </w:r>
      <w:r>
        <w:rPr>
          <w:rFonts w:ascii="Segoe UI Symbol" w:hAnsi="Segoe UI Symbol" w:cs="Segoe UI Symbol"/>
          <w:sz w:val="24"/>
        </w:rPr>
        <w:t>☐</w:t>
      </w:r>
      <w:r>
        <w:rPr>
          <w:rFonts w:ascii="宋体" w:hAnsi="宋体"/>
          <w:sz w:val="24"/>
        </w:rPr>
        <w:t xml:space="preserve"> </w:t>
      </w:r>
      <w:r>
        <w:rPr>
          <w:rFonts w:ascii="宋体" w:hAnsi="宋体" w:hint="eastAsia"/>
          <w:sz w:val="24"/>
        </w:rPr>
        <w:t>移动门</w:t>
      </w:r>
    </w:p>
    <w:p w14:paraId="0E243E3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预制舱的门框应与安装门的骨架连接良好，保证预制舱能够承受高风压。</w:t>
      </w:r>
    </w:p>
    <w:p w14:paraId="1F73C03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预制舱的门</w:t>
      </w:r>
      <w:r>
        <w:rPr>
          <w:rFonts w:ascii="宋体" w:hAnsi="宋体"/>
          <w:sz w:val="24"/>
        </w:rPr>
        <w:t>板</w:t>
      </w:r>
      <w:r>
        <w:rPr>
          <w:rFonts w:ascii="宋体" w:hAnsi="宋体" w:hint="eastAsia"/>
          <w:sz w:val="24"/>
        </w:rPr>
        <w:t>外板</w:t>
      </w:r>
      <w:r>
        <w:rPr>
          <w:rFonts w:ascii="宋体" w:hAnsi="宋体"/>
          <w:sz w:val="24"/>
        </w:rPr>
        <w:t>采用</w:t>
      </w:r>
      <w:r>
        <w:rPr>
          <w:rFonts w:ascii="宋体" w:hAnsi="宋体" w:hint="eastAsia"/>
          <w:sz w:val="24"/>
        </w:rPr>
        <w:t>2</w:t>
      </w:r>
      <w:r>
        <w:rPr>
          <w:rFonts w:ascii="宋体" w:hAnsi="宋体"/>
          <w:sz w:val="24"/>
        </w:rPr>
        <w:t>mm</w:t>
      </w:r>
      <w:r>
        <w:rPr>
          <w:rFonts w:ascii="宋体" w:hAnsi="宋体" w:hint="eastAsia"/>
          <w:sz w:val="24"/>
        </w:rPr>
        <w:t>厚</w:t>
      </w:r>
      <w:r>
        <w:rPr>
          <w:rFonts w:ascii="宋体" w:hAnsi="宋体"/>
          <w:sz w:val="24"/>
        </w:rPr>
        <w:t>的镀锌钢板制造</w:t>
      </w:r>
      <w:r>
        <w:rPr>
          <w:rFonts w:ascii="宋体" w:hAnsi="宋体" w:hint="eastAsia"/>
          <w:sz w:val="24"/>
        </w:rPr>
        <w:t>，内板封堵1.5mm镀锌钢板。铰</w:t>
      </w:r>
      <w:r>
        <w:rPr>
          <w:rFonts w:ascii="宋体" w:hAnsi="宋体"/>
          <w:sz w:val="24"/>
        </w:rPr>
        <w:t>链</w:t>
      </w:r>
      <w:r>
        <w:rPr>
          <w:rFonts w:ascii="宋体" w:hAnsi="宋体" w:hint="eastAsia"/>
          <w:sz w:val="24"/>
        </w:rPr>
        <w:t>为集装箱焊接铰链板。</w:t>
      </w:r>
    </w:p>
    <w:p w14:paraId="36A1B79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预制舱所有门的接缝都应有密封胶条用于防风防雨，采</w:t>
      </w:r>
      <w:r>
        <w:rPr>
          <w:rFonts w:ascii="宋体" w:hAnsi="宋体"/>
          <w:sz w:val="24"/>
        </w:rPr>
        <w:t>用</w:t>
      </w:r>
      <w:r>
        <w:rPr>
          <w:rFonts w:ascii="宋体" w:hAnsi="宋体" w:hint="eastAsia"/>
          <w:sz w:val="24"/>
        </w:rPr>
        <w:t>三元乙丙橡胶密封。</w:t>
      </w:r>
    </w:p>
    <w:p w14:paraId="750D5C9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预制舱地板系统</w:t>
      </w:r>
    </w:p>
    <w:p w14:paraId="1CA52DC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一次舱</w:t>
      </w:r>
      <w:r>
        <w:rPr>
          <w:rFonts w:ascii="宋体" w:hAnsi="宋体"/>
          <w:sz w:val="24"/>
        </w:rPr>
        <w:t>地板</w:t>
      </w:r>
      <w:r>
        <w:rPr>
          <w:rFonts w:ascii="宋体" w:hAnsi="宋体" w:hint="eastAsia"/>
          <w:sz w:val="24"/>
        </w:rPr>
        <w:t>采用3</w:t>
      </w:r>
      <w:r>
        <w:rPr>
          <w:rFonts w:ascii="宋体" w:hAnsi="宋体"/>
          <w:sz w:val="24"/>
        </w:rPr>
        <w:t>mm</w:t>
      </w:r>
      <w:r>
        <w:rPr>
          <w:rFonts w:ascii="宋体" w:hAnsi="宋体" w:hint="eastAsia"/>
          <w:sz w:val="24"/>
        </w:rPr>
        <w:t>钢</w:t>
      </w:r>
      <w:r>
        <w:rPr>
          <w:rFonts w:ascii="宋体" w:hAnsi="宋体"/>
          <w:sz w:val="24"/>
        </w:rPr>
        <w:t>板</w:t>
      </w:r>
      <w:r>
        <w:rPr>
          <w:rFonts w:ascii="宋体" w:hAnsi="宋体" w:hint="eastAsia"/>
          <w:sz w:val="24"/>
        </w:rPr>
        <w:t>与底座槽钢牢靠焊接在一起，铺设需确保平整，杜绝出现鼓声现象；铺设5mm厚度绝缘胶垫。控制舱</w:t>
      </w:r>
      <w:r>
        <w:rPr>
          <w:rFonts w:ascii="宋体" w:hAnsi="宋体"/>
          <w:sz w:val="24"/>
        </w:rPr>
        <w:t>地板</w:t>
      </w:r>
      <w:r>
        <w:rPr>
          <w:rFonts w:ascii="宋体" w:hAnsi="宋体" w:hint="eastAsia"/>
          <w:sz w:val="24"/>
        </w:rPr>
        <w:t>采用托架式PVC防静电底板。</w:t>
      </w:r>
    </w:p>
    <w:p w14:paraId="07D9CB9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焊接</w:t>
      </w:r>
    </w:p>
    <w:p w14:paraId="49641E58"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预制舱的焊接应符合本技术协议第4部分焊接标准和规范的要求。</w:t>
      </w:r>
    </w:p>
    <w:p w14:paraId="20ED028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预制舱角焊缝焊脚高度尺寸不小于5mm，焊接间距为250至300mm。</w:t>
      </w:r>
    </w:p>
    <w:p w14:paraId="3F87498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预制舱焊后应有清渣、打磨和自检处理，不合格处应立即补漏，保证无虚焊、漏焊、气孔、裂纹等不良焊接现象，保证焊接的连续性、完整性和与焊接零件表面的平整性。</w:t>
      </w:r>
    </w:p>
    <w:p w14:paraId="441D121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供方在焊接过程中应有过程检验记录和验收检验记录。焊接完成后由需方根据检验计划进行验收，验收合格才可以进行下一步工序，验收不合格造成的误工和时间应由供方承担。</w:t>
      </w:r>
    </w:p>
    <w:p w14:paraId="2A4AF55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表面处理和防护漆体系</w:t>
      </w:r>
    </w:p>
    <w:p w14:paraId="18B2B1F2"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预制舱型材预处理：所有型材经抛丸处理，并喷涂基本防护漆</w:t>
      </w:r>
    </w:p>
    <w:p w14:paraId="1A615241" w14:textId="77777777" w:rsidR="00B43FBA" w:rsidRDefault="001D024B">
      <w:pPr>
        <w:spacing w:line="360" w:lineRule="auto"/>
        <w:ind w:leftChars="-68" w:left="-143" w:firstLineChars="200" w:firstLine="480"/>
        <w:rPr>
          <w:rFonts w:ascii="宋体" w:hAnsi="宋体"/>
          <w:sz w:val="24"/>
        </w:rPr>
      </w:pPr>
      <w:r>
        <w:rPr>
          <w:rFonts w:ascii="宋体" w:hAnsi="宋体"/>
          <w:sz w:val="24"/>
        </w:rPr>
        <w:t xml:space="preserve"> </w:t>
      </w:r>
      <w:r>
        <w:rPr>
          <w:rFonts w:ascii="宋体" w:hAnsi="宋体" w:hint="eastAsia"/>
          <w:sz w:val="24"/>
        </w:rPr>
        <w:t>舱体应采用喷砂、喷户外高档聚氨酯面漆防腐处理。金属材料经防腐处理后表面覆盖层应有牢固的附着力，并均匀一致，以保证舱体30年不锈蚀。舱体的面漆采用抗紫外线、抗老化、长寿命的聚胺脂类高档面漆，保证15年内不退色、不</w:t>
      </w:r>
      <w:r>
        <w:rPr>
          <w:rFonts w:ascii="宋体" w:hAnsi="宋体" w:hint="eastAsia"/>
          <w:sz w:val="24"/>
        </w:rPr>
        <w:lastRenderedPageBreak/>
        <w:t>氧化、不粉化（15年后需3~5年维护保养）。</w:t>
      </w:r>
    </w:p>
    <w:p w14:paraId="229D4A1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预制舱底座防护漆系统</w:t>
      </w:r>
    </w:p>
    <w:p w14:paraId="072F992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6</w:t>
      </w:r>
      <w:r>
        <w:rPr>
          <w:rFonts w:ascii="宋体" w:hAnsi="宋体"/>
          <w:sz w:val="24"/>
        </w:rPr>
        <w:t>0微米</w:t>
      </w:r>
      <w:r>
        <w:rPr>
          <w:rFonts w:ascii="宋体" w:hAnsi="宋体" w:hint="eastAsia"/>
          <w:sz w:val="24"/>
        </w:rPr>
        <w:t>环氧富锌底漆</w:t>
      </w:r>
    </w:p>
    <w:p w14:paraId="4813A71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80</w:t>
      </w:r>
      <w:r>
        <w:rPr>
          <w:rFonts w:ascii="宋体" w:hAnsi="宋体"/>
          <w:sz w:val="24"/>
        </w:rPr>
        <w:t>微米</w:t>
      </w:r>
      <w:r>
        <w:rPr>
          <w:rFonts w:ascii="宋体" w:hAnsi="宋体" w:hint="eastAsia"/>
          <w:sz w:val="24"/>
        </w:rPr>
        <w:t>云铁中间漆</w:t>
      </w:r>
    </w:p>
    <w:p w14:paraId="34FD039B"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80微米沥青漆重度防腐</w:t>
      </w:r>
    </w:p>
    <w:p w14:paraId="69800F46"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预制舱外墙面、顶部防护漆系统</w:t>
      </w:r>
    </w:p>
    <w:p w14:paraId="70D6D295"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6</w:t>
      </w:r>
      <w:r>
        <w:rPr>
          <w:rFonts w:ascii="宋体" w:hAnsi="宋体"/>
          <w:sz w:val="24"/>
        </w:rPr>
        <w:t>0微米</w:t>
      </w:r>
      <w:r>
        <w:rPr>
          <w:rFonts w:ascii="宋体" w:hAnsi="宋体" w:hint="eastAsia"/>
          <w:sz w:val="24"/>
        </w:rPr>
        <w:t>环氧富锌底漆</w:t>
      </w:r>
    </w:p>
    <w:p w14:paraId="7C599C6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80</w:t>
      </w:r>
      <w:r>
        <w:rPr>
          <w:rFonts w:ascii="宋体" w:hAnsi="宋体"/>
          <w:sz w:val="24"/>
        </w:rPr>
        <w:t>微米</w:t>
      </w:r>
      <w:r>
        <w:rPr>
          <w:rFonts w:ascii="宋体" w:hAnsi="宋体" w:hint="eastAsia"/>
          <w:sz w:val="24"/>
        </w:rPr>
        <w:t>云铁中间漆</w:t>
      </w:r>
    </w:p>
    <w:p w14:paraId="14D137FE"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60微米聚氨酯面漆</w:t>
      </w:r>
    </w:p>
    <w:p w14:paraId="395DBD6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所有的外露紧固件：如螺栓，螺母，垫圈，自攻螺钉采用不锈钢材质；铰链，锁头，锁座和其他硬件需要12微米厚度镀锌，并喷涂油漆。</w:t>
      </w:r>
    </w:p>
    <w:p w14:paraId="5C37DFC0"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 xml:space="preserve"> 油漆品牌采用佐敦，并提供材质材料检验检测报告。</w:t>
      </w:r>
    </w:p>
    <w:p w14:paraId="668F9F9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吊卸装置</w:t>
      </w:r>
    </w:p>
    <w:p w14:paraId="2EEA51B4"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供方应提供供方设计的预制舱吊卸需要的常用工具和特殊工具作为供货范围的一部分。</w:t>
      </w:r>
    </w:p>
    <w:p w14:paraId="6E4D24CE"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预制舱应采用吊具起吊以确保箱体整体强度及刚度避免受到损伤。</w:t>
      </w:r>
    </w:p>
    <w:p w14:paraId="2089D871"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吊卸方式：</w:t>
      </w:r>
      <w:r>
        <w:rPr>
          <w:rFonts w:ascii="Segoe UI Symbol" w:hAnsi="Segoe UI Symbol" w:cs="Segoe UI Symbol"/>
          <w:sz w:val="24"/>
        </w:rPr>
        <w:t>☐</w:t>
      </w:r>
      <w:r>
        <w:rPr>
          <w:rFonts w:ascii="宋体" w:hAnsi="宋体" w:hint="eastAsia"/>
          <w:sz w:val="24"/>
        </w:rPr>
        <w:t xml:space="preserve"> 上起吊    </w:t>
      </w:r>
      <w:r>
        <w:rPr>
          <w:rFonts w:ascii="宋体" w:hAnsi="宋体"/>
          <w:sz w:val="24"/>
        </w:rPr>
        <w:t xml:space="preserve"> </w:t>
      </w:r>
      <w:r>
        <w:rPr>
          <w:rFonts w:ascii="宋体" w:hAnsi="宋体" w:hint="eastAsia"/>
          <w:sz w:val="24"/>
        </w:rPr>
        <w:t>下起吊</w:t>
      </w:r>
    </w:p>
    <w:p w14:paraId="63412637"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上起吊：利用舱体上部集装箱角件吊装。</w:t>
      </w:r>
    </w:p>
    <w:p w14:paraId="5563EA8A"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下起吊：在舱体底部钢梁上设置舱体吊装装置，利用专业吊具完成吊卸工作。</w:t>
      </w:r>
    </w:p>
    <w:p w14:paraId="752992CF"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供方应提供第3部分描述的相关起吊图纸和文件。</w:t>
      </w:r>
    </w:p>
    <w:p w14:paraId="56F217DE" w14:textId="77777777" w:rsidR="00B43FBA" w:rsidRDefault="00B43FBA">
      <w:pPr>
        <w:spacing w:line="360" w:lineRule="auto"/>
        <w:ind w:leftChars="-68" w:left="-143" w:firstLineChars="200" w:firstLine="480"/>
        <w:rPr>
          <w:rFonts w:ascii="宋体" w:hAnsi="宋体"/>
          <w:sz w:val="24"/>
        </w:rPr>
      </w:pPr>
    </w:p>
    <w:p w14:paraId="208A857A" w14:textId="77777777" w:rsidR="00B43FBA" w:rsidRDefault="001D024B">
      <w:pPr>
        <w:pStyle w:val="2"/>
        <w:rPr>
          <w:rFonts w:ascii="宋体" w:hAnsi="宋体"/>
          <w:b w:val="0"/>
          <w:sz w:val="28"/>
          <w:szCs w:val="28"/>
        </w:rPr>
      </w:pPr>
      <w:bookmarkStart w:id="25" w:name="_Toc389594628"/>
      <w:bookmarkStart w:id="26" w:name="_Toc389597646"/>
      <w:bookmarkStart w:id="27" w:name="_Toc516149178"/>
      <w:bookmarkEnd w:id="18"/>
      <w:bookmarkEnd w:id="19"/>
      <w:bookmarkEnd w:id="20"/>
      <w:r>
        <w:rPr>
          <w:rFonts w:ascii="宋体" w:hAnsi="宋体" w:hint="eastAsia"/>
          <w:b w:val="0"/>
          <w:sz w:val="28"/>
          <w:szCs w:val="28"/>
        </w:rPr>
        <w:t xml:space="preserve">1.3.2.2 </w:t>
      </w:r>
      <w:bookmarkEnd w:id="25"/>
      <w:bookmarkEnd w:id="26"/>
      <w:r>
        <w:rPr>
          <w:rFonts w:ascii="宋体" w:hAnsi="宋体" w:hint="eastAsia"/>
          <w:b w:val="0"/>
          <w:sz w:val="28"/>
          <w:szCs w:val="28"/>
        </w:rPr>
        <w:t>预制舱防腐</w:t>
      </w:r>
      <w:bookmarkEnd w:id="27"/>
    </w:p>
    <w:p w14:paraId="7D2F6D63" w14:textId="77777777" w:rsidR="00B43FBA" w:rsidRDefault="001D024B">
      <w:pPr>
        <w:spacing w:line="360" w:lineRule="auto"/>
        <w:ind w:firstLine="420"/>
        <w:rPr>
          <w:rFonts w:ascii="宋体" w:hAnsi="宋体"/>
          <w:sz w:val="24"/>
        </w:rPr>
      </w:pPr>
      <w:r>
        <w:rPr>
          <w:rFonts w:ascii="宋体" w:hAnsi="宋体" w:hint="eastAsia"/>
          <w:sz w:val="24"/>
        </w:rPr>
        <w:t>1.3.2.2.1预制舱防腐处理应遵循</w:t>
      </w:r>
      <w:r>
        <w:rPr>
          <w:rFonts w:ascii="宋体" w:hAnsi="宋体"/>
          <w:sz w:val="24"/>
        </w:rPr>
        <w:t>GB/T 30790.1-2014 《色漆和清漆 防护涂料体系对钢结构的防腐蚀保护 第1部分：总则》、GB/T 30790.4-2014  《色漆和清漆 防护涂料体系对钢结构的防腐蚀保护 第4部分：表面类型和表面处理》</w:t>
      </w:r>
      <w:r>
        <w:rPr>
          <w:rFonts w:ascii="宋体" w:hAnsi="宋体" w:hint="eastAsia"/>
          <w:sz w:val="24"/>
        </w:rPr>
        <w:t>标准，采用多道防腐工艺，包括前处理、锌层、中间层、面层等多重处理工艺，前处理需保证钢板表面足够的粗糙度，中间层及面层等总厚度不应小于200μm，保证舱体在C4环境下达到30年不锈蚀的防腐水平。</w:t>
      </w:r>
    </w:p>
    <w:p w14:paraId="1F846787" w14:textId="77777777" w:rsidR="00B43FBA" w:rsidRDefault="001D024B">
      <w:pPr>
        <w:spacing w:line="360" w:lineRule="auto"/>
        <w:ind w:firstLineChars="200" w:firstLine="480"/>
        <w:rPr>
          <w:rFonts w:ascii="宋体" w:hAnsi="宋体"/>
          <w:sz w:val="24"/>
        </w:rPr>
      </w:pPr>
      <w:r>
        <w:rPr>
          <w:rFonts w:ascii="宋体" w:hAnsi="宋体" w:hint="eastAsia"/>
          <w:sz w:val="24"/>
        </w:rPr>
        <w:lastRenderedPageBreak/>
        <w:t>。</w:t>
      </w:r>
    </w:p>
    <w:p w14:paraId="3584638F" w14:textId="77777777" w:rsidR="00B43FBA" w:rsidRDefault="001D024B">
      <w:pPr>
        <w:pStyle w:val="2"/>
        <w:rPr>
          <w:rFonts w:ascii="宋体" w:hAnsi="宋体"/>
          <w:b w:val="0"/>
          <w:sz w:val="28"/>
          <w:szCs w:val="28"/>
        </w:rPr>
      </w:pPr>
      <w:bookmarkStart w:id="28" w:name="_Toc389597648"/>
      <w:bookmarkStart w:id="29" w:name="_Toc389594630"/>
      <w:bookmarkStart w:id="30" w:name="_Toc516149180"/>
      <w:r>
        <w:rPr>
          <w:rFonts w:ascii="宋体" w:hAnsi="宋体" w:hint="eastAsia"/>
          <w:b w:val="0"/>
          <w:sz w:val="28"/>
          <w:szCs w:val="28"/>
        </w:rPr>
        <w:t>1.3.2.</w:t>
      </w:r>
      <w:r>
        <w:rPr>
          <w:rFonts w:ascii="宋体" w:hAnsi="宋体"/>
          <w:b w:val="0"/>
          <w:sz w:val="28"/>
          <w:szCs w:val="28"/>
        </w:rPr>
        <w:t>3</w:t>
      </w:r>
      <w:r>
        <w:rPr>
          <w:rFonts w:ascii="宋体" w:hAnsi="宋体" w:hint="eastAsia"/>
          <w:b w:val="0"/>
          <w:sz w:val="28"/>
          <w:szCs w:val="28"/>
        </w:rPr>
        <w:t xml:space="preserve"> </w:t>
      </w:r>
      <w:bookmarkEnd w:id="28"/>
      <w:bookmarkEnd w:id="29"/>
      <w:r>
        <w:rPr>
          <w:rFonts w:ascii="宋体" w:hAnsi="宋体" w:hint="eastAsia"/>
          <w:b w:val="0"/>
          <w:sz w:val="28"/>
          <w:szCs w:val="28"/>
        </w:rPr>
        <w:t>预制舱的密封与防尘</w:t>
      </w:r>
      <w:bookmarkEnd w:id="30"/>
    </w:p>
    <w:p w14:paraId="32EC43A9" w14:textId="77777777" w:rsidR="00B43FBA" w:rsidRDefault="001D024B">
      <w:pPr>
        <w:spacing w:line="360" w:lineRule="auto"/>
        <w:ind w:leftChars="-68" w:left="-143" w:firstLineChars="200" w:firstLine="480"/>
        <w:rPr>
          <w:rFonts w:ascii="宋体" w:hAnsi="宋体"/>
          <w:sz w:val="24"/>
        </w:rPr>
      </w:pPr>
      <w:r>
        <w:rPr>
          <w:rFonts w:ascii="宋体" w:hAnsi="宋体" w:hint="eastAsia"/>
          <w:sz w:val="24"/>
        </w:rPr>
        <w:t>1.3.2.4.1预制舱应保证良好的密封性能，舱体密封需采用硅橡胶或三元乙丙材料密封条，进出线电缆孔采用敲落孔配密封胶圈或密封件等处理，密封材料的寿命应大于5年，并制定合理的更换方案，提供相应的备品备件。</w:t>
      </w:r>
    </w:p>
    <w:p w14:paraId="2CEC74A6" w14:textId="77777777" w:rsidR="00B43FBA" w:rsidRDefault="001D024B">
      <w:pPr>
        <w:pStyle w:val="2"/>
        <w:rPr>
          <w:rFonts w:ascii="宋体" w:hAnsi="宋体"/>
          <w:sz w:val="24"/>
          <w:szCs w:val="24"/>
        </w:rPr>
      </w:pPr>
      <w:bookmarkStart w:id="31" w:name="_Toc516149181"/>
      <w:r>
        <w:rPr>
          <w:rFonts w:ascii="宋体" w:hAnsi="宋体" w:hint="eastAsia"/>
          <w:b w:val="0"/>
          <w:sz w:val="28"/>
          <w:szCs w:val="28"/>
        </w:rPr>
        <w:t>1.3.2.</w:t>
      </w:r>
      <w:r>
        <w:rPr>
          <w:rFonts w:ascii="宋体" w:hAnsi="宋体"/>
          <w:b w:val="0"/>
          <w:sz w:val="28"/>
          <w:szCs w:val="28"/>
        </w:rPr>
        <w:t>4</w:t>
      </w:r>
      <w:r>
        <w:rPr>
          <w:rFonts w:ascii="宋体" w:hAnsi="宋体" w:hint="eastAsia"/>
          <w:b w:val="0"/>
          <w:sz w:val="28"/>
          <w:szCs w:val="28"/>
        </w:rPr>
        <w:t xml:space="preserve"> </w:t>
      </w:r>
      <w:r>
        <w:rPr>
          <w:rFonts w:ascii="宋体" w:hAnsi="宋体" w:hint="eastAsia"/>
          <w:b w:val="0"/>
          <w:sz w:val="28"/>
          <w:szCs w:val="28"/>
        </w:rPr>
        <w:t>预制舱通</w:t>
      </w:r>
      <w:bookmarkEnd w:id="31"/>
    </w:p>
    <w:p w14:paraId="0643DE5F"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4</w:t>
      </w:r>
      <w:r>
        <w:rPr>
          <w:rFonts w:ascii="宋体" w:hAnsi="宋体" w:hint="eastAsia"/>
          <w:sz w:val="24"/>
        </w:rPr>
        <w:t>.1采用强制通风时，风机需采用进口、长寿命、免维护轴流式风机；风机的数量应满足排风和除湿的要求，排风要进行多道防尘处理，防尘网应方便拆装和清洗；排风处需设置风阀等结构，保证舱体的整体防护等级。</w:t>
      </w:r>
    </w:p>
    <w:p w14:paraId="74B6A2B9" w14:textId="77777777" w:rsidR="00B43FBA" w:rsidRDefault="001D024B">
      <w:pPr>
        <w:pStyle w:val="2"/>
        <w:rPr>
          <w:rFonts w:ascii="宋体" w:hAnsi="宋体"/>
          <w:b w:val="0"/>
          <w:sz w:val="28"/>
          <w:szCs w:val="28"/>
        </w:rPr>
      </w:pPr>
      <w:bookmarkStart w:id="32" w:name="_Toc389597649"/>
      <w:bookmarkStart w:id="33" w:name="_Toc389594631"/>
      <w:bookmarkStart w:id="34" w:name="_Toc516149182"/>
      <w:r>
        <w:rPr>
          <w:rFonts w:ascii="宋体" w:hAnsi="宋体" w:hint="eastAsia"/>
          <w:b w:val="0"/>
          <w:sz w:val="28"/>
          <w:szCs w:val="28"/>
        </w:rPr>
        <w:t>1.3.2.</w:t>
      </w:r>
      <w:r>
        <w:rPr>
          <w:rFonts w:ascii="宋体" w:hAnsi="宋体"/>
          <w:b w:val="0"/>
          <w:sz w:val="28"/>
          <w:szCs w:val="28"/>
        </w:rPr>
        <w:t>5</w:t>
      </w:r>
      <w:r>
        <w:rPr>
          <w:rFonts w:ascii="宋体" w:hAnsi="宋体" w:hint="eastAsia"/>
          <w:b w:val="0"/>
          <w:sz w:val="28"/>
          <w:szCs w:val="28"/>
        </w:rPr>
        <w:t xml:space="preserve"> </w:t>
      </w:r>
      <w:r>
        <w:rPr>
          <w:rFonts w:ascii="宋体" w:hAnsi="宋体" w:hint="eastAsia"/>
          <w:b w:val="0"/>
          <w:sz w:val="28"/>
          <w:szCs w:val="28"/>
        </w:rPr>
        <w:t>预制舱立体建站要求</w:t>
      </w:r>
      <w:bookmarkEnd w:id="32"/>
      <w:bookmarkEnd w:id="33"/>
      <w:bookmarkEnd w:id="34"/>
    </w:p>
    <w:p w14:paraId="1D8D8699" w14:textId="77777777" w:rsidR="00B43FBA" w:rsidRDefault="001D024B">
      <w:pPr>
        <w:spacing w:line="360" w:lineRule="auto"/>
        <w:ind w:left="-142" w:firstLineChars="203" w:firstLine="487"/>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2</w:t>
      </w:r>
      <w:r>
        <w:rPr>
          <w:rFonts w:ascii="宋体" w:hAnsi="宋体"/>
          <w:sz w:val="24"/>
        </w:rPr>
        <w:t>.5.1</w:t>
      </w:r>
      <w:r>
        <w:rPr>
          <w:rFonts w:ascii="宋体" w:hAnsi="宋体" w:hint="eastAsia"/>
          <w:sz w:val="24"/>
        </w:rPr>
        <w:t>依据变电站选址以及占地面积要求，预制舱变电站应采用立体建站模式，舱体可在基础一层的舱体上置顶安装，投标方必须处理好一层舱体承重以及舱体间防震减震问题。</w:t>
      </w:r>
    </w:p>
    <w:p w14:paraId="59716AEE" w14:textId="77777777" w:rsidR="00B43FBA" w:rsidRDefault="001D024B">
      <w:pPr>
        <w:spacing w:line="360" w:lineRule="auto"/>
        <w:ind w:left="-142" w:firstLineChars="203" w:firstLine="487"/>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2</w:t>
      </w:r>
      <w:r>
        <w:rPr>
          <w:rFonts w:ascii="宋体" w:hAnsi="宋体"/>
          <w:sz w:val="24"/>
        </w:rPr>
        <w:t>.5.2</w:t>
      </w:r>
      <w:r>
        <w:rPr>
          <w:rFonts w:ascii="宋体" w:hAnsi="宋体" w:hint="eastAsia"/>
          <w:sz w:val="24"/>
        </w:rPr>
        <w:t>隔震系统要求：上层与下层舱体连接界面之间设置隔振装置，对于噪音、震动均进行消除；隔振效率不小于</w:t>
      </w:r>
      <w:r>
        <w:rPr>
          <w:rFonts w:ascii="宋体" w:hAnsi="宋体"/>
          <w:sz w:val="24"/>
        </w:rPr>
        <w:t>72%</w:t>
      </w:r>
      <w:r>
        <w:rPr>
          <w:rFonts w:ascii="宋体" w:hAnsi="宋体" w:hint="eastAsia"/>
          <w:sz w:val="24"/>
        </w:rPr>
        <w:t>。</w:t>
      </w:r>
    </w:p>
    <w:p w14:paraId="6F201402" w14:textId="77777777" w:rsidR="00B43FBA" w:rsidRDefault="001D024B">
      <w:pPr>
        <w:spacing w:line="360" w:lineRule="auto"/>
        <w:ind w:left="-142" w:firstLineChars="203" w:firstLine="487"/>
        <w:rPr>
          <w:rFonts w:ascii="宋体" w:hAnsi="宋体"/>
          <w:color w:val="FF0000"/>
          <w:sz w:val="24"/>
        </w:rPr>
      </w:pPr>
      <w:r>
        <w:rPr>
          <w:rFonts w:ascii="宋体" w:hAnsi="宋体" w:hint="eastAsia"/>
          <w:sz w:val="24"/>
        </w:rPr>
        <w:t>1</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2</w:t>
      </w:r>
      <w:r>
        <w:rPr>
          <w:rFonts w:ascii="宋体" w:hAnsi="宋体"/>
          <w:sz w:val="24"/>
        </w:rPr>
        <w:t>.5.3</w:t>
      </w:r>
      <w:r>
        <w:rPr>
          <w:rFonts w:ascii="宋体" w:hAnsi="宋体" w:hint="eastAsia"/>
          <w:sz w:val="24"/>
        </w:rPr>
        <w:t>底层舱体承重要求：上层结构总重不超过</w:t>
      </w:r>
      <w:r>
        <w:rPr>
          <w:rFonts w:ascii="宋体" w:hAnsi="宋体"/>
          <w:sz w:val="24"/>
        </w:rPr>
        <w:t>10T</w:t>
      </w:r>
      <w:r>
        <w:rPr>
          <w:rFonts w:ascii="宋体" w:hAnsi="宋体" w:hint="eastAsia"/>
          <w:sz w:val="24"/>
        </w:rPr>
        <w:t>，底层舱体框架所承受的平均最大应力为</w:t>
      </w:r>
      <w:r>
        <w:rPr>
          <w:rFonts w:ascii="宋体" w:hAnsi="宋体"/>
          <w:sz w:val="24"/>
        </w:rPr>
        <w:t>100MPa</w:t>
      </w:r>
      <w:r>
        <w:rPr>
          <w:rFonts w:ascii="宋体" w:hAnsi="宋体" w:hint="eastAsia"/>
          <w:sz w:val="24"/>
        </w:rPr>
        <w:t>；所承受的应力集中最大值为</w:t>
      </w:r>
      <w:r>
        <w:rPr>
          <w:rFonts w:ascii="宋体" w:hAnsi="宋体"/>
          <w:sz w:val="24"/>
        </w:rPr>
        <w:t>193MPa</w:t>
      </w:r>
      <w:r>
        <w:rPr>
          <w:rFonts w:ascii="宋体" w:hAnsi="宋体" w:hint="eastAsia"/>
          <w:sz w:val="24"/>
        </w:rPr>
        <w:t>，最小安全系数为</w:t>
      </w:r>
      <w:r>
        <w:rPr>
          <w:rFonts w:ascii="宋体" w:hAnsi="宋体"/>
          <w:sz w:val="24"/>
        </w:rPr>
        <w:t>1.2</w:t>
      </w:r>
      <w:r>
        <w:rPr>
          <w:rFonts w:ascii="宋体" w:hAnsi="宋体" w:hint="eastAsia"/>
          <w:sz w:val="24"/>
        </w:rPr>
        <w:t>。</w:t>
      </w:r>
    </w:p>
    <w:p w14:paraId="3CAC91FA" w14:textId="77777777" w:rsidR="00B43FBA" w:rsidRDefault="001D024B">
      <w:pPr>
        <w:spacing w:line="360" w:lineRule="auto"/>
        <w:ind w:left="-142" w:firstLineChars="203" w:firstLine="487"/>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2</w:t>
      </w:r>
      <w:r>
        <w:rPr>
          <w:rFonts w:ascii="宋体" w:hAnsi="宋体"/>
          <w:sz w:val="24"/>
        </w:rPr>
        <w:t>.5.4</w:t>
      </w:r>
      <w:r>
        <w:rPr>
          <w:rFonts w:ascii="宋体" w:hAnsi="宋体" w:hint="eastAsia"/>
          <w:sz w:val="24"/>
        </w:rPr>
        <w:t>舱体应能保证立体变电站任意方向相对垂直度倾斜</w:t>
      </w:r>
      <w:r>
        <w:rPr>
          <w:rFonts w:ascii="宋体" w:hAnsi="宋体"/>
          <w:sz w:val="24"/>
        </w:rPr>
        <w:t>5</w:t>
      </w:r>
      <w:r>
        <w:rPr>
          <w:rFonts w:ascii="宋体" w:hAnsi="宋体" w:hint="eastAsia"/>
          <w:sz w:val="24"/>
        </w:rPr>
        <w:t>度时，舱体无明显变形。</w:t>
      </w:r>
    </w:p>
    <w:p w14:paraId="43690A66" w14:textId="77777777" w:rsidR="00B43FBA" w:rsidRDefault="001D024B">
      <w:pPr>
        <w:pStyle w:val="2"/>
        <w:rPr>
          <w:rFonts w:ascii="宋体" w:hAnsi="宋体"/>
          <w:b w:val="0"/>
          <w:sz w:val="28"/>
          <w:szCs w:val="28"/>
        </w:rPr>
      </w:pPr>
      <w:bookmarkStart w:id="35" w:name="_Toc389597650"/>
      <w:bookmarkStart w:id="36" w:name="_Toc389594632"/>
      <w:bookmarkStart w:id="37" w:name="_Toc516149183"/>
      <w:r>
        <w:rPr>
          <w:rFonts w:ascii="宋体" w:hAnsi="宋体" w:hint="eastAsia"/>
          <w:b w:val="0"/>
          <w:sz w:val="28"/>
          <w:szCs w:val="28"/>
        </w:rPr>
        <w:t>1.3.2.</w:t>
      </w:r>
      <w:r>
        <w:rPr>
          <w:rFonts w:ascii="宋体" w:hAnsi="宋体"/>
          <w:b w:val="0"/>
          <w:sz w:val="28"/>
          <w:szCs w:val="28"/>
        </w:rPr>
        <w:t>6</w:t>
      </w:r>
      <w:r>
        <w:rPr>
          <w:rFonts w:ascii="宋体" w:hAnsi="宋体" w:hint="eastAsia"/>
          <w:b w:val="0"/>
          <w:sz w:val="28"/>
          <w:szCs w:val="28"/>
        </w:rPr>
        <w:t xml:space="preserve"> </w:t>
      </w:r>
      <w:r>
        <w:rPr>
          <w:rFonts w:ascii="宋体" w:hAnsi="宋体" w:hint="eastAsia"/>
          <w:b w:val="0"/>
          <w:sz w:val="28"/>
          <w:szCs w:val="28"/>
        </w:rPr>
        <w:t>线缆通道的要求</w:t>
      </w:r>
      <w:bookmarkEnd w:id="35"/>
      <w:bookmarkEnd w:id="36"/>
      <w:bookmarkEnd w:id="37"/>
    </w:p>
    <w:p w14:paraId="2FC0B815"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6</w:t>
      </w:r>
      <w:r>
        <w:rPr>
          <w:rFonts w:ascii="宋体" w:hAnsi="宋体" w:hint="eastAsia"/>
          <w:sz w:val="24"/>
        </w:rPr>
        <w:t>.1预制舱内的一、二次线缆的敷设需有专用的线缆通道，且相互独立、密闭。</w:t>
      </w:r>
    </w:p>
    <w:p w14:paraId="0F62CCFB"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6</w:t>
      </w:r>
      <w:r>
        <w:rPr>
          <w:rFonts w:ascii="宋体" w:hAnsi="宋体" w:hint="eastAsia"/>
          <w:sz w:val="24"/>
        </w:rPr>
        <w:t>.2一次线缆通道均采用双层2.0mm镀锌板折弯、组装而成，通道内</w:t>
      </w:r>
      <w:r>
        <w:rPr>
          <w:rFonts w:ascii="宋体" w:hAnsi="宋体" w:hint="eastAsia"/>
          <w:sz w:val="24"/>
        </w:rPr>
        <w:lastRenderedPageBreak/>
        <w:t>衬防火材料，满足A级耐火要求，并提供所使用防火材料的专业机构检验报告。</w:t>
      </w:r>
    </w:p>
    <w:p w14:paraId="5C5E7A5F"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6</w:t>
      </w:r>
      <w:r>
        <w:rPr>
          <w:rFonts w:ascii="宋体" w:hAnsi="宋体" w:hint="eastAsia"/>
          <w:sz w:val="24"/>
        </w:rPr>
        <w:t>.3一次电缆通道尺寸应满足电缆敷设以及合理弯曲半径要求设计，并在预制舱内合理布局。</w:t>
      </w:r>
    </w:p>
    <w:p w14:paraId="2F896967"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6</w:t>
      </w:r>
      <w:r>
        <w:rPr>
          <w:rFonts w:ascii="宋体" w:hAnsi="宋体" w:hint="eastAsia"/>
          <w:sz w:val="24"/>
        </w:rPr>
        <w:t>.4二次线缆通道应采用金属线槽，考虑抗干扰以及防电磁屏蔽措施</w:t>
      </w:r>
      <w:bookmarkStart w:id="38" w:name="_Toc389594633"/>
      <w:bookmarkStart w:id="39" w:name="_Toc389597651"/>
      <w:r>
        <w:rPr>
          <w:rFonts w:ascii="宋体" w:hAnsi="宋体" w:hint="eastAsia"/>
          <w:sz w:val="24"/>
        </w:rPr>
        <w:t>。</w:t>
      </w:r>
    </w:p>
    <w:p w14:paraId="459D548E" w14:textId="77777777" w:rsidR="00B43FBA" w:rsidRDefault="001D024B">
      <w:pPr>
        <w:pStyle w:val="2"/>
        <w:rPr>
          <w:rFonts w:ascii="宋体" w:hAnsi="宋体"/>
          <w:b w:val="0"/>
          <w:sz w:val="28"/>
          <w:szCs w:val="28"/>
        </w:rPr>
      </w:pPr>
      <w:bookmarkStart w:id="40" w:name="_Toc516149185"/>
      <w:r>
        <w:rPr>
          <w:rFonts w:ascii="宋体" w:hAnsi="宋体" w:hint="eastAsia"/>
          <w:b w:val="0"/>
          <w:sz w:val="28"/>
          <w:szCs w:val="28"/>
        </w:rPr>
        <w:t>1.3.2.</w:t>
      </w:r>
      <w:r>
        <w:rPr>
          <w:rFonts w:ascii="宋体" w:hAnsi="宋体"/>
          <w:b w:val="0"/>
          <w:sz w:val="28"/>
          <w:szCs w:val="28"/>
        </w:rPr>
        <w:t>7</w:t>
      </w:r>
      <w:r>
        <w:rPr>
          <w:rFonts w:ascii="宋体" w:hAnsi="宋体" w:hint="eastAsia"/>
          <w:b w:val="0"/>
          <w:sz w:val="28"/>
          <w:szCs w:val="28"/>
        </w:rPr>
        <w:t xml:space="preserve"> </w:t>
      </w:r>
      <w:r>
        <w:rPr>
          <w:rFonts w:ascii="宋体" w:hAnsi="宋体" w:hint="eastAsia"/>
          <w:b w:val="0"/>
          <w:sz w:val="28"/>
          <w:szCs w:val="28"/>
        </w:rPr>
        <w:t>预制舱紧急逃生措施</w:t>
      </w:r>
      <w:bookmarkEnd w:id="38"/>
      <w:bookmarkEnd w:id="39"/>
      <w:bookmarkEnd w:id="40"/>
    </w:p>
    <w:p w14:paraId="3FC1B802"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7</w:t>
      </w:r>
      <w:r>
        <w:rPr>
          <w:rFonts w:ascii="宋体" w:hAnsi="宋体" w:hint="eastAsia"/>
          <w:sz w:val="24"/>
        </w:rPr>
        <w:t>.1预制舱通道门板上需设置“推杠式”紧急逃生门锁，满足人员紧急逃生要求。门锁需满足防火要求，高可靠，长寿命。</w:t>
      </w:r>
    </w:p>
    <w:p w14:paraId="05BCF833"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7</w:t>
      </w:r>
      <w:r>
        <w:rPr>
          <w:rFonts w:ascii="宋体" w:hAnsi="宋体" w:hint="eastAsia"/>
          <w:sz w:val="24"/>
        </w:rPr>
        <w:t>.2紧急逃生通道设置醒目的安全出口指示，相关通道指示设备均需考虑应急电源，以保证其可靠指示。</w:t>
      </w:r>
    </w:p>
    <w:p w14:paraId="3D8A7D57" w14:textId="77777777" w:rsidR="00B43FBA" w:rsidRDefault="001D024B">
      <w:pPr>
        <w:pStyle w:val="2"/>
        <w:rPr>
          <w:rFonts w:ascii="宋体" w:hAnsi="宋体"/>
          <w:b w:val="0"/>
          <w:sz w:val="28"/>
          <w:szCs w:val="28"/>
        </w:rPr>
      </w:pPr>
      <w:bookmarkStart w:id="41" w:name="_Toc516149186"/>
      <w:r>
        <w:rPr>
          <w:rFonts w:ascii="宋体" w:hAnsi="宋体" w:hint="eastAsia"/>
          <w:b w:val="0"/>
          <w:sz w:val="28"/>
          <w:szCs w:val="28"/>
        </w:rPr>
        <w:t>1.3.2.</w:t>
      </w:r>
      <w:r>
        <w:rPr>
          <w:rFonts w:ascii="宋体" w:hAnsi="宋体"/>
          <w:b w:val="0"/>
          <w:sz w:val="28"/>
          <w:szCs w:val="28"/>
        </w:rPr>
        <w:t>8</w:t>
      </w:r>
      <w:r>
        <w:rPr>
          <w:rFonts w:ascii="宋体" w:hAnsi="宋体" w:hint="eastAsia"/>
          <w:b w:val="0"/>
          <w:sz w:val="28"/>
          <w:szCs w:val="28"/>
        </w:rPr>
        <w:t xml:space="preserve"> </w:t>
      </w:r>
      <w:r>
        <w:rPr>
          <w:rFonts w:ascii="宋体" w:hAnsi="宋体" w:hint="eastAsia"/>
          <w:b w:val="0"/>
          <w:sz w:val="28"/>
          <w:szCs w:val="28"/>
        </w:rPr>
        <w:t>预制舱防火性能</w:t>
      </w:r>
      <w:bookmarkEnd w:id="41"/>
    </w:p>
    <w:p w14:paraId="04F75105" w14:textId="77777777" w:rsidR="00B43FBA" w:rsidRDefault="001D024B">
      <w:pPr>
        <w:spacing w:line="360" w:lineRule="auto"/>
        <w:ind w:firstLineChars="200" w:firstLine="480"/>
        <w:rPr>
          <w:rFonts w:ascii="宋体" w:hAnsi="宋体"/>
          <w:sz w:val="24"/>
        </w:rPr>
      </w:pPr>
      <w:r>
        <w:rPr>
          <w:rFonts w:ascii="宋体" w:hAnsi="宋体" w:hint="eastAsia"/>
          <w:sz w:val="24"/>
        </w:rPr>
        <w:t>1.3.2.</w:t>
      </w:r>
      <w:r>
        <w:rPr>
          <w:rFonts w:ascii="宋体" w:hAnsi="宋体"/>
          <w:sz w:val="24"/>
        </w:rPr>
        <w:t>8</w:t>
      </w:r>
      <w:r>
        <w:rPr>
          <w:rFonts w:ascii="宋体" w:hAnsi="宋体" w:hint="eastAsia"/>
          <w:sz w:val="24"/>
        </w:rPr>
        <w:t>.1预制舱应保证良好的防火性能，舱体壁板需保证内部或者外部着火时的最低性能水平为耐火</w:t>
      </w:r>
      <w:r>
        <w:rPr>
          <w:rFonts w:ascii="宋体" w:hAnsi="宋体"/>
          <w:sz w:val="24"/>
        </w:rPr>
        <w:t xml:space="preserve">3小时以上,3小时内舱体外壳具有完整性及防火性， </w:t>
      </w:r>
    </w:p>
    <w:p w14:paraId="1EEBDB33" w14:textId="77777777" w:rsidR="00B43FBA" w:rsidRDefault="001D024B">
      <w:pPr>
        <w:spacing w:line="360" w:lineRule="auto"/>
        <w:ind w:firstLineChars="200" w:firstLine="480"/>
        <w:rPr>
          <w:rFonts w:ascii="宋体" w:hAnsi="宋体"/>
          <w:sz w:val="24"/>
        </w:rPr>
      </w:pPr>
      <w:r>
        <w:rPr>
          <w:rFonts w:ascii="宋体" w:hAnsi="宋体" w:hint="eastAsia"/>
          <w:sz w:val="24"/>
        </w:rPr>
        <w:t>1.3.2.</w:t>
      </w:r>
      <w:r>
        <w:rPr>
          <w:rFonts w:ascii="宋体" w:hAnsi="宋体"/>
          <w:sz w:val="24"/>
        </w:rPr>
        <w:t>8</w:t>
      </w:r>
      <w:r>
        <w:rPr>
          <w:rFonts w:ascii="宋体" w:hAnsi="宋体" w:hint="eastAsia"/>
          <w:sz w:val="24"/>
        </w:rPr>
        <w:t>.</w:t>
      </w:r>
      <w:r>
        <w:rPr>
          <w:rFonts w:ascii="宋体" w:hAnsi="宋体"/>
          <w:sz w:val="24"/>
        </w:rPr>
        <w:t>2</w:t>
      </w:r>
      <w:r>
        <w:rPr>
          <w:rFonts w:ascii="宋体" w:hAnsi="宋体" w:hint="eastAsia"/>
          <w:sz w:val="24"/>
        </w:rPr>
        <w:t>预制舱消防供电及应急照明设计应符合现行国家标准GB50229《火力发电厂与变电所设计防火规范》的规定。</w:t>
      </w:r>
    </w:p>
    <w:p w14:paraId="5944F7B6" w14:textId="77777777" w:rsidR="00B43FBA" w:rsidRDefault="001D024B">
      <w:pPr>
        <w:pStyle w:val="2"/>
        <w:rPr>
          <w:rFonts w:ascii="宋体" w:hAnsi="宋体"/>
          <w:b w:val="0"/>
          <w:sz w:val="28"/>
          <w:szCs w:val="28"/>
        </w:rPr>
      </w:pPr>
      <w:bookmarkStart w:id="42" w:name="_Toc389594634"/>
      <w:bookmarkStart w:id="43" w:name="_Toc389597652"/>
      <w:bookmarkStart w:id="44" w:name="_Toc516149187"/>
      <w:r>
        <w:rPr>
          <w:rFonts w:ascii="宋体" w:hAnsi="宋体" w:hint="eastAsia"/>
          <w:b w:val="0"/>
          <w:sz w:val="28"/>
          <w:szCs w:val="28"/>
        </w:rPr>
        <w:t>1.3.2.</w:t>
      </w:r>
      <w:bookmarkEnd w:id="42"/>
      <w:bookmarkEnd w:id="43"/>
      <w:r>
        <w:rPr>
          <w:rFonts w:ascii="宋体" w:hAnsi="宋体"/>
          <w:b w:val="0"/>
          <w:sz w:val="28"/>
          <w:szCs w:val="28"/>
        </w:rPr>
        <w:t>9</w:t>
      </w:r>
      <w:r>
        <w:rPr>
          <w:rFonts w:ascii="宋体" w:hAnsi="宋体" w:hint="eastAsia"/>
          <w:b w:val="0"/>
          <w:sz w:val="28"/>
          <w:szCs w:val="28"/>
        </w:rPr>
        <w:t>舱体照明</w:t>
      </w:r>
      <w:bookmarkEnd w:id="44"/>
    </w:p>
    <w:p w14:paraId="45DFE632"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9</w:t>
      </w:r>
      <w:r>
        <w:rPr>
          <w:rFonts w:ascii="宋体" w:hAnsi="宋体" w:hint="eastAsia"/>
          <w:sz w:val="24"/>
        </w:rPr>
        <w:t>.1  预制舱检修走廊内设置通道照明灯，照明灯必须采用LED灯，并保证足够的照度，方便舱体内部的检修和试验。</w:t>
      </w:r>
    </w:p>
    <w:p w14:paraId="398EE747" w14:textId="77777777" w:rsidR="00B43FBA" w:rsidRDefault="001D024B">
      <w:pPr>
        <w:spacing w:line="360" w:lineRule="auto"/>
        <w:ind w:left="-142" w:firstLineChars="203" w:firstLine="487"/>
        <w:rPr>
          <w:rFonts w:ascii="宋体" w:hAnsi="宋体"/>
          <w:sz w:val="24"/>
        </w:rPr>
      </w:pPr>
      <w:r>
        <w:rPr>
          <w:rFonts w:ascii="宋体" w:hAnsi="宋体" w:hint="eastAsia"/>
          <w:sz w:val="24"/>
        </w:rPr>
        <w:t>1.3.2.</w:t>
      </w:r>
      <w:r>
        <w:rPr>
          <w:rFonts w:ascii="宋体" w:hAnsi="宋体"/>
          <w:sz w:val="24"/>
        </w:rPr>
        <w:t>9</w:t>
      </w:r>
      <w:r>
        <w:rPr>
          <w:rFonts w:ascii="宋体" w:hAnsi="宋体" w:hint="eastAsia"/>
          <w:sz w:val="24"/>
        </w:rPr>
        <w:t>.2  预制舱检修走廊两端分别设置事故照明，并在全站停电的情况下能够自动启动，保证检修走廊内的事故照明。</w:t>
      </w:r>
    </w:p>
    <w:p w14:paraId="3A4B63D6" w14:textId="77777777" w:rsidR="00B43FBA" w:rsidRDefault="001D024B">
      <w:pPr>
        <w:pStyle w:val="2"/>
        <w:rPr>
          <w:rFonts w:ascii="宋体" w:hAnsi="宋体"/>
          <w:b w:val="0"/>
          <w:sz w:val="28"/>
          <w:szCs w:val="28"/>
        </w:rPr>
      </w:pPr>
      <w:bookmarkStart w:id="45" w:name="_Toc516149189"/>
      <w:bookmarkStart w:id="46" w:name="_Toc389594636"/>
      <w:bookmarkStart w:id="47" w:name="_Toc389597654"/>
      <w:r>
        <w:rPr>
          <w:rFonts w:ascii="宋体" w:hAnsi="宋体" w:hint="eastAsia"/>
          <w:b w:val="0"/>
          <w:sz w:val="28"/>
          <w:szCs w:val="28"/>
        </w:rPr>
        <w:t>1.3.2.1</w:t>
      </w:r>
      <w:r>
        <w:rPr>
          <w:rFonts w:ascii="宋体" w:hAnsi="宋体"/>
          <w:b w:val="0"/>
          <w:sz w:val="28"/>
          <w:szCs w:val="28"/>
        </w:rPr>
        <w:t>0</w:t>
      </w:r>
      <w:r>
        <w:rPr>
          <w:rFonts w:ascii="宋体" w:hAnsi="宋体"/>
          <w:b w:val="0"/>
          <w:sz w:val="28"/>
          <w:szCs w:val="28"/>
        </w:rPr>
        <w:t>舱体防涡流措施</w:t>
      </w:r>
      <w:bookmarkEnd w:id="45"/>
      <w:bookmarkEnd w:id="46"/>
      <w:bookmarkEnd w:id="47"/>
    </w:p>
    <w:p w14:paraId="7941E8CC" w14:textId="77777777" w:rsidR="00B43FBA" w:rsidRDefault="001D024B">
      <w:pPr>
        <w:spacing w:line="360" w:lineRule="auto"/>
        <w:ind w:firstLineChars="200" w:firstLine="480"/>
        <w:rPr>
          <w:rFonts w:ascii="宋体" w:hAnsi="宋体"/>
          <w:sz w:val="24"/>
        </w:rPr>
      </w:pPr>
      <w:r>
        <w:rPr>
          <w:rFonts w:ascii="宋体" w:hAnsi="宋体" w:hint="eastAsia"/>
          <w:sz w:val="24"/>
        </w:rPr>
        <w:t>当母线或电缆穿隔预制舱体时，预制舱厂家应采取可靠的防涡流措施。固定母线用金属夹件应选用不锈钢或铝等非磁性材料，预制舱舱体上安装金属夹件的门板及框架应选用不锈钢或铝等非导磁材料，以保证母线进入预制舱舱体时不形成导磁回路。</w:t>
      </w:r>
    </w:p>
    <w:p w14:paraId="708CD510" w14:textId="77777777" w:rsidR="00B43FBA" w:rsidRDefault="001D024B">
      <w:pPr>
        <w:pStyle w:val="2"/>
        <w:rPr>
          <w:rFonts w:ascii="宋体" w:hAnsi="宋体"/>
          <w:b w:val="0"/>
          <w:sz w:val="28"/>
          <w:szCs w:val="28"/>
        </w:rPr>
      </w:pPr>
      <w:bookmarkStart w:id="48" w:name="_Toc389597655"/>
      <w:bookmarkStart w:id="49" w:name="_Toc389594637"/>
      <w:bookmarkStart w:id="50" w:name="_Toc516149190"/>
      <w:r>
        <w:rPr>
          <w:rFonts w:ascii="宋体" w:hAnsi="宋体" w:hint="eastAsia"/>
          <w:b w:val="0"/>
          <w:sz w:val="28"/>
          <w:szCs w:val="28"/>
        </w:rPr>
        <w:lastRenderedPageBreak/>
        <w:t>1.3.2.1</w:t>
      </w:r>
      <w:r>
        <w:rPr>
          <w:rFonts w:ascii="宋体" w:hAnsi="宋体"/>
          <w:b w:val="0"/>
          <w:sz w:val="28"/>
          <w:szCs w:val="28"/>
        </w:rPr>
        <w:t>1</w:t>
      </w:r>
      <w:r>
        <w:rPr>
          <w:rFonts w:ascii="宋体" w:hAnsi="宋体" w:hint="eastAsia"/>
          <w:b w:val="0"/>
          <w:sz w:val="28"/>
          <w:szCs w:val="28"/>
        </w:rPr>
        <w:t xml:space="preserve"> </w:t>
      </w:r>
      <w:r>
        <w:rPr>
          <w:rFonts w:ascii="宋体" w:hAnsi="宋体" w:hint="eastAsia"/>
          <w:b w:val="0"/>
          <w:sz w:val="28"/>
          <w:szCs w:val="28"/>
        </w:rPr>
        <w:t>舱体接地</w:t>
      </w:r>
      <w:bookmarkEnd w:id="48"/>
      <w:bookmarkEnd w:id="49"/>
      <w:bookmarkEnd w:id="50"/>
    </w:p>
    <w:p w14:paraId="65D6C9DC" w14:textId="77777777" w:rsidR="00B43FBA" w:rsidRDefault="001D024B">
      <w:pPr>
        <w:spacing w:line="360" w:lineRule="auto"/>
        <w:ind w:firstLineChars="200" w:firstLine="480"/>
        <w:rPr>
          <w:rFonts w:ascii="宋体" w:hAnsi="宋体"/>
          <w:sz w:val="24"/>
        </w:rPr>
      </w:pPr>
      <w:r>
        <w:rPr>
          <w:rFonts w:ascii="宋体" w:hAnsi="宋体" w:hint="eastAsia"/>
          <w:sz w:val="24"/>
        </w:rPr>
        <w:t>预制舱的舱体底架上应设专用接地导体，该接地导体上应设有与接地网相连接的固定接地端子，与预制舱内各设备接地和保护接地相连，并应有明显的接地标志。接地端子为直径不小于12mm的铜质螺栓。预制舱的金属骨架，高配电装置、低配电装置和变压器室的金属支架均应有符合技术条件的接地端子，并与专用接地导体可靠地连接在一起。预制舱每台舱体的底架外部应至少设有4个明显的接地点，该接地点应采用铜板与可靠底架焊接，并配有直径不小于12mm的铜质螺栓，以便现场进行舱体与基础接地网的连接。</w:t>
      </w:r>
    </w:p>
    <w:p w14:paraId="7C0AF148" w14:textId="77777777" w:rsidR="00B43FBA" w:rsidRDefault="001D024B">
      <w:pPr>
        <w:pStyle w:val="Q3"/>
        <w:numPr>
          <w:ilvl w:val="0"/>
          <w:numId w:val="0"/>
        </w:numPr>
        <w:rPr>
          <w:rFonts w:ascii="宋体" w:eastAsia="黑体" w:hAnsi="宋体" w:cs="Times New Roman"/>
          <w:b w:val="0"/>
          <w:kern w:val="0"/>
          <w:sz w:val="28"/>
          <w:lang w:val="en-US" w:eastAsia="zh-CN"/>
        </w:rPr>
      </w:pPr>
      <w:r>
        <w:rPr>
          <w:rFonts w:ascii="宋体" w:eastAsia="黑体" w:hAnsi="宋体" w:cs="Times New Roman" w:hint="eastAsia"/>
          <w:b w:val="0"/>
          <w:kern w:val="0"/>
          <w:sz w:val="28"/>
          <w:lang w:val="en-US" w:eastAsia="zh-CN"/>
        </w:rPr>
        <w:t>1.3.2.1</w:t>
      </w:r>
      <w:r>
        <w:rPr>
          <w:rFonts w:ascii="宋体" w:eastAsia="黑体" w:hAnsi="宋体" w:cs="Times New Roman"/>
          <w:b w:val="0"/>
          <w:kern w:val="0"/>
          <w:sz w:val="28"/>
          <w:lang w:val="en-US" w:eastAsia="zh-CN"/>
        </w:rPr>
        <w:t>2</w:t>
      </w:r>
      <w:r>
        <w:rPr>
          <w:rFonts w:ascii="宋体" w:eastAsia="黑体" w:hAnsi="宋体" w:cs="Times New Roman" w:hint="eastAsia"/>
          <w:b w:val="0"/>
          <w:kern w:val="0"/>
          <w:sz w:val="28"/>
          <w:lang w:val="en-US" w:eastAsia="zh-CN"/>
        </w:rPr>
        <w:t>预制舱通风</w:t>
      </w:r>
    </w:p>
    <w:p w14:paraId="4AD75ABB" w14:textId="77777777" w:rsidR="00B43FBA" w:rsidRDefault="001D024B">
      <w:pPr>
        <w:pStyle w:val="Q5"/>
        <w:ind w:leftChars="0" w:left="0"/>
        <w:rPr>
          <w:kern w:val="2"/>
          <w:lang w:val="en-US"/>
        </w:rPr>
      </w:pPr>
      <w:r>
        <w:rPr>
          <w:rFonts w:hint="eastAsia"/>
          <w:kern w:val="2"/>
          <w:lang w:val="en-US"/>
        </w:rPr>
        <w:t>预制舱内的通风设计应符合DL/T 5035-2016 《发电厂供暖通风与空气调节设计规范》等相关标准的要求。</w:t>
      </w:r>
    </w:p>
    <w:p w14:paraId="42C09046" w14:textId="77777777" w:rsidR="00B43FBA" w:rsidRDefault="001D024B">
      <w:pPr>
        <w:pStyle w:val="Q5"/>
        <w:ind w:leftChars="0" w:left="0"/>
        <w:rPr>
          <w:kern w:val="2"/>
          <w:lang w:val="en-US"/>
        </w:rPr>
      </w:pPr>
      <w:r>
        <w:rPr>
          <w:rFonts w:hint="eastAsia"/>
          <w:kern w:val="2"/>
          <w:lang w:val="en-US"/>
        </w:rPr>
        <w:t>采用强制通风时，风机需采用进口、长寿命、免维护轴流式风机；风机的数量应满足排余热和灭火后通风换气的要求，排风要进行多道防尘处理，防尘网应方便拆装和清洗；排风处需设置风阀等结构，保证舱体的整体防护等级。</w:t>
      </w:r>
    </w:p>
    <w:p w14:paraId="706BAD2F" w14:textId="77777777" w:rsidR="00B43FBA" w:rsidRDefault="001D024B">
      <w:pPr>
        <w:pStyle w:val="Q5"/>
        <w:ind w:leftChars="0" w:left="0"/>
        <w:rPr>
          <w:kern w:val="2"/>
          <w:lang w:val="en-US"/>
        </w:rPr>
      </w:pPr>
      <w:r>
        <w:rPr>
          <w:rFonts w:hint="eastAsia"/>
          <w:kern w:val="2"/>
          <w:lang w:val="en-US"/>
        </w:rPr>
        <w:t>各舱室内应考虑设置事故后通风排气风机。</w:t>
      </w:r>
    </w:p>
    <w:p w14:paraId="6DDFE985" w14:textId="77777777" w:rsidR="00B43FBA" w:rsidRDefault="001D024B">
      <w:pPr>
        <w:pStyle w:val="Q3"/>
        <w:numPr>
          <w:ilvl w:val="0"/>
          <w:numId w:val="0"/>
        </w:numPr>
        <w:rPr>
          <w:rFonts w:ascii="宋体" w:eastAsia="黑体" w:hAnsi="宋体" w:cs="Times New Roman"/>
          <w:b w:val="0"/>
          <w:kern w:val="0"/>
          <w:sz w:val="28"/>
          <w:lang w:val="en-US" w:eastAsia="zh-CN"/>
        </w:rPr>
      </w:pPr>
      <w:bookmarkStart w:id="51" w:name="_Toc55042657"/>
      <w:r>
        <w:rPr>
          <w:rFonts w:ascii="宋体" w:eastAsia="黑体" w:hAnsi="宋体" w:cs="Times New Roman" w:hint="eastAsia"/>
          <w:b w:val="0"/>
          <w:kern w:val="0"/>
          <w:sz w:val="28"/>
          <w:lang w:val="en-US" w:eastAsia="zh-CN"/>
        </w:rPr>
        <w:t>1.3.2.1</w:t>
      </w:r>
      <w:r>
        <w:rPr>
          <w:rFonts w:ascii="宋体" w:eastAsia="黑体" w:hAnsi="宋体" w:cs="Times New Roman"/>
          <w:b w:val="0"/>
          <w:kern w:val="0"/>
          <w:sz w:val="28"/>
          <w:lang w:val="en-US" w:eastAsia="zh-CN"/>
        </w:rPr>
        <w:t>3</w:t>
      </w:r>
      <w:r>
        <w:rPr>
          <w:rFonts w:ascii="宋体" w:eastAsia="黑体" w:hAnsi="宋体" w:cs="Times New Roman" w:hint="eastAsia"/>
          <w:b w:val="0"/>
          <w:kern w:val="0"/>
          <w:sz w:val="28"/>
          <w:lang w:val="en-US" w:eastAsia="zh-CN"/>
        </w:rPr>
        <w:t>质量保证和承诺</w:t>
      </w:r>
      <w:bookmarkEnd w:id="51"/>
    </w:p>
    <w:p w14:paraId="420E807D" w14:textId="77777777" w:rsidR="00B43FBA" w:rsidRDefault="001D024B">
      <w:pPr>
        <w:pStyle w:val="Q5"/>
        <w:ind w:leftChars="0" w:left="0"/>
        <w:rPr>
          <w:kern w:val="2"/>
          <w:lang w:val="en-US"/>
        </w:rPr>
      </w:pPr>
      <w:r>
        <w:rPr>
          <w:rFonts w:hint="eastAsia"/>
          <w:kern w:val="2"/>
          <w:lang w:val="en-US"/>
        </w:rPr>
        <w:t>供方应有建造预制舱的全</w:t>
      </w:r>
      <w:r>
        <w:rPr>
          <w:kern w:val="2"/>
          <w:lang w:val="en-US"/>
        </w:rPr>
        <w:t>过程</w:t>
      </w:r>
      <w:r>
        <w:rPr>
          <w:rFonts w:hint="eastAsia"/>
          <w:kern w:val="2"/>
          <w:lang w:val="en-US"/>
        </w:rPr>
        <w:t>质量控制计划，预制舱</w:t>
      </w:r>
      <w:r>
        <w:rPr>
          <w:kern w:val="2"/>
          <w:lang w:val="en-US"/>
        </w:rPr>
        <w:t>出厂前</w:t>
      </w:r>
      <w:r>
        <w:rPr>
          <w:rFonts w:hint="eastAsia"/>
          <w:kern w:val="2"/>
          <w:lang w:val="en-US"/>
        </w:rPr>
        <w:t>与安装手册和最终版图纸一并移交给客户。</w:t>
      </w:r>
    </w:p>
    <w:p w14:paraId="416407EA" w14:textId="77777777" w:rsidR="00B43FBA" w:rsidRDefault="001D024B">
      <w:pPr>
        <w:pStyle w:val="Q5"/>
        <w:ind w:leftChars="0" w:left="0"/>
        <w:rPr>
          <w:kern w:val="2"/>
          <w:lang w:val="en-US"/>
        </w:rPr>
      </w:pPr>
      <w:r>
        <w:rPr>
          <w:rFonts w:hint="eastAsia"/>
          <w:kern w:val="2"/>
          <w:lang w:val="en-US"/>
        </w:rPr>
        <w:t>预制舱保修期限按商务合同。</w:t>
      </w:r>
    </w:p>
    <w:p w14:paraId="359060F1" w14:textId="77777777" w:rsidR="00B43FBA" w:rsidRDefault="001D024B">
      <w:pPr>
        <w:pStyle w:val="Q5"/>
        <w:ind w:leftChars="0" w:left="0"/>
        <w:rPr>
          <w:kern w:val="2"/>
          <w:lang w:val="en-US"/>
        </w:rPr>
      </w:pPr>
      <w:r>
        <w:rPr>
          <w:rFonts w:hint="eastAsia"/>
          <w:kern w:val="2"/>
          <w:lang w:val="en-US"/>
        </w:rPr>
        <w:t>供方应保证预制舱现场</w:t>
      </w:r>
      <w:r>
        <w:rPr>
          <w:kern w:val="2"/>
          <w:lang w:val="en-US"/>
        </w:rPr>
        <w:t>交付客户验收合格后</w:t>
      </w:r>
      <w:r>
        <w:rPr>
          <w:rFonts w:hint="eastAsia"/>
          <w:kern w:val="2"/>
          <w:lang w:val="en-US"/>
        </w:rPr>
        <w:t>使用1年内不会出现建造缺陷和遗漏、工艺不良、材料不合格的问题，在此期间，若发生由于产品质量导致的缺陷，供方免费进行维修，更换损坏的零部件。对</w:t>
      </w:r>
      <w:r>
        <w:rPr>
          <w:kern w:val="2"/>
          <w:lang w:val="en-US"/>
        </w:rPr>
        <w:t>于</w:t>
      </w:r>
      <w:r>
        <w:rPr>
          <w:rFonts w:hint="eastAsia"/>
          <w:kern w:val="2"/>
          <w:lang w:val="en-US"/>
        </w:rPr>
        <w:t>因操作失误、保护脱离、装卸损伤、碰撞和其它自然事故造成的任何损耗不包括在供方</w:t>
      </w:r>
      <w:r>
        <w:rPr>
          <w:kern w:val="2"/>
          <w:lang w:val="en-US"/>
        </w:rPr>
        <w:t>的责任范围</w:t>
      </w:r>
      <w:r>
        <w:rPr>
          <w:rFonts w:hint="eastAsia"/>
          <w:kern w:val="2"/>
          <w:lang w:val="en-US"/>
        </w:rPr>
        <w:t>内。</w:t>
      </w:r>
    </w:p>
    <w:p w14:paraId="7EE3DB95" w14:textId="77777777" w:rsidR="00B43FBA" w:rsidRDefault="001D024B">
      <w:pPr>
        <w:pStyle w:val="Q5"/>
        <w:ind w:leftChars="0" w:left="0"/>
        <w:rPr>
          <w:kern w:val="2"/>
          <w:lang w:val="en-US"/>
        </w:rPr>
      </w:pPr>
      <w:r>
        <w:rPr>
          <w:rFonts w:hint="eastAsia"/>
          <w:kern w:val="2"/>
          <w:lang w:val="en-US"/>
        </w:rPr>
        <w:t>供方预制舱应保证承载自身舱体及舱内所有设备重量机械强度，在起吊和运输过程中不发生形变，对不满足上述要求所引起的后果由供方承担。</w:t>
      </w:r>
    </w:p>
    <w:p w14:paraId="066BE1C3" w14:textId="77777777" w:rsidR="00B43FBA" w:rsidRDefault="001D024B">
      <w:pPr>
        <w:pStyle w:val="Q5"/>
        <w:ind w:leftChars="0" w:left="0"/>
        <w:rPr>
          <w:kern w:val="2"/>
          <w:lang w:val="en-US"/>
        </w:rPr>
      </w:pPr>
      <w:r>
        <w:rPr>
          <w:rFonts w:hint="eastAsia"/>
          <w:kern w:val="2"/>
          <w:lang w:val="en-US"/>
        </w:rPr>
        <w:t>供方提供符合本技术协议全新的、合格的设备。</w:t>
      </w:r>
    </w:p>
    <w:p w14:paraId="73C0A86A" w14:textId="77777777" w:rsidR="00B43FBA" w:rsidRDefault="001D024B">
      <w:pPr>
        <w:pStyle w:val="Q5"/>
        <w:ind w:leftChars="0" w:left="0"/>
        <w:rPr>
          <w:kern w:val="2"/>
          <w:lang w:val="en-US"/>
        </w:rPr>
      </w:pPr>
      <w:r>
        <w:rPr>
          <w:rFonts w:hint="eastAsia"/>
          <w:kern w:val="2"/>
          <w:lang w:val="en-US"/>
        </w:rPr>
        <w:lastRenderedPageBreak/>
        <w:t>供方保证制造过程中的所有工艺、材料试验等(包括供方的外购件在内)均符合本技术协议书的规定。</w:t>
      </w:r>
    </w:p>
    <w:p w14:paraId="4109DBA6" w14:textId="77777777" w:rsidR="00B43FBA" w:rsidRDefault="001D024B">
      <w:pPr>
        <w:pStyle w:val="Q5"/>
        <w:ind w:leftChars="0" w:left="0"/>
        <w:rPr>
          <w:kern w:val="2"/>
          <w:lang w:val="en-US"/>
        </w:rPr>
      </w:pPr>
      <w:r>
        <w:rPr>
          <w:rFonts w:hint="eastAsia"/>
          <w:kern w:val="2"/>
          <w:lang w:val="en-US"/>
        </w:rPr>
        <w:t>附属及配套设备满足本技术协议书的有关规定的国标和行业标准的要求，并提供试验报告和产品合格证。</w:t>
      </w:r>
    </w:p>
    <w:p w14:paraId="323C53EF" w14:textId="77777777" w:rsidR="00B43FBA" w:rsidRDefault="001D024B">
      <w:pPr>
        <w:pStyle w:val="Q5"/>
        <w:ind w:leftChars="0" w:left="0"/>
        <w:rPr>
          <w:kern w:val="2"/>
          <w:lang w:val="en-US"/>
        </w:rPr>
      </w:pPr>
      <w:r>
        <w:rPr>
          <w:rFonts w:hint="eastAsia"/>
          <w:kern w:val="2"/>
          <w:lang w:val="en-US"/>
        </w:rPr>
        <w:t>为了确保设备的质量和可靠性，供方有遵守本技术协议书中各条款和工作项目的ISO9000、</w:t>
      </w:r>
    </w:p>
    <w:p w14:paraId="4F6CCF7D" w14:textId="77777777" w:rsidR="00B43FBA" w:rsidRDefault="001D024B">
      <w:pPr>
        <w:pStyle w:val="2"/>
        <w:rPr>
          <w:rFonts w:ascii="宋体" w:hAnsi="宋体"/>
          <w:b w:val="0"/>
          <w:sz w:val="28"/>
          <w:szCs w:val="28"/>
        </w:rPr>
      </w:pPr>
      <w:bookmarkStart w:id="52" w:name="_Toc516149194"/>
      <w:bookmarkStart w:id="53" w:name="_Toc429918900"/>
      <w:r>
        <w:rPr>
          <w:rFonts w:ascii="宋体" w:hAnsi="宋体" w:hint="eastAsia"/>
          <w:b w:val="0"/>
          <w:sz w:val="28"/>
          <w:szCs w:val="28"/>
        </w:rPr>
        <w:t>1.</w:t>
      </w:r>
      <w:r>
        <w:rPr>
          <w:rFonts w:ascii="宋体" w:hAnsi="宋体"/>
          <w:b w:val="0"/>
          <w:sz w:val="28"/>
          <w:szCs w:val="28"/>
        </w:rPr>
        <w:t>4</w:t>
      </w:r>
      <w:r>
        <w:rPr>
          <w:rFonts w:ascii="宋体" w:hAnsi="宋体" w:hint="eastAsia"/>
          <w:b w:val="0"/>
          <w:sz w:val="28"/>
          <w:szCs w:val="28"/>
        </w:rPr>
        <w:t xml:space="preserve"> </w:t>
      </w:r>
      <w:r>
        <w:rPr>
          <w:rFonts w:ascii="宋体" w:hAnsi="宋体" w:hint="eastAsia"/>
          <w:b w:val="0"/>
          <w:sz w:val="28"/>
          <w:szCs w:val="28"/>
        </w:rPr>
        <w:t>舱体规格尺寸</w:t>
      </w:r>
      <w:bookmarkEnd w:id="52"/>
      <w:bookmarkEnd w:id="53"/>
    </w:p>
    <w:p w14:paraId="1C60DC2F" w14:textId="33A9EE6F" w:rsidR="00B43FBA" w:rsidRDefault="001D024B">
      <w:pPr>
        <w:spacing w:line="360" w:lineRule="auto"/>
        <w:rPr>
          <w:rFonts w:ascii="宋体" w:hAnsi="宋体"/>
          <w:sz w:val="24"/>
        </w:rPr>
      </w:pPr>
      <w:r>
        <w:rPr>
          <w:rFonts w:ascii="宋体" w:hAnsi="宋体" w:hint="eastAsia"/>
          <w:sz w:val="24"/>
        </w:rPr>
        <w:t>舱体规格尺寸：15</w:t>
      </w:r>
      <w:r>
        <w:rPr>
          <w:rFonts w:ascii="宋体" w:hAnsi="宋体"/>
          <w:sz w:val="24"/>
        </w:rPr>
        <w:t>0</w:t>
      </w:r>
      <w:r>
        <w:rPr>
          <w:rFonts w:ascii="宋体" w:hAnsi="宋体" w:hint="eastAsia"/>
          <w:sz w:val="24"/>
        </w:rPr>
        <w:t>00×32</w:t>
      </w:r>
      <w:r>
        <w:rPr>
          <w:rFonts w:ascii="宋体" w:hAnsi="宋体"/>
          <w:sz w:val="24"/>
        </w:rPr>
        <w:t>00</w:t>
      </w:r>
      <w:r>
        <w:rPr>
          <w:rFonts w:ascii="宋体" w:hAnsi="宋体" w:hint="eastAsia"/>
          <w:sz w:val="24"/>
        </w:rPr>
        <w:t>mm</w:t>
      </w:r>
      <w:r w:rsidR="00D462F5">
        <w:rPr>
          <w:rFonts w:ascii="宋体" w:hAnsi="宋体" w:hint="eastAsia"/>
          <w:sz w:val="24"/>
        </w:rPr>
        <w:t>×3</w:t>
      </w:r>
      <w:r w:rsidR="00D462F5">
        <w:rPr>
          <w:rFonts w:ascii="宋体" w:hAnsi="宋体"/>
          <w:sz w:val="24"/>
        </w:rPr>
        <w:t>240</w:t>
      </w:r>
      <w:r w:rsidR="00D462F5">
        <w:rPr>
          <w:rFonts w:ascii="宋体" w:hAnsi="宋体" w:hint="eastAsia"/>
          <w:sz w:val="24"/>
        </w:rPr>
        <w:t>mm</w:t>
      </w:r>
      <w:r>
        <w:rPr>
          <w:rFonts w:ascii="宋体" w:hAnsi="宋体" w:hint="eastAsia"/>
          <w:sz w:val="24"/>
        </w:rPr>
        <w:t>（长×宽</w:t>
      </w:r>
      <w:r w:rsidR="00D462F5">
        <w:rPr>
          <w:rFonts w:ascii="宋体" w:hAnsi="宋体" w:hint="eastAsia"/>
          <w:sz w:val="24"/>
        </w:rPr>
        <w:t>×高</w:t>
      </w:r>
      <w:r>
        <w:rPr>
          <w:rFonts w:ascii="宋体" w:hAnsi="宋体" w:hint="eastAsia"/>
          <w:sz w:val="24"/>
        </w:rPr>
        <w:t>）</w:t>
      </w:r>
    </w:p>
    <w:p w14:paraId="4AEBAE85" w14:textId="77777777" w:rsidR="00B43FBA" w:rsidRDefault="001D024B">
      <w:pPr>
        <w:spacing w:line="360" w:lineRule="auto"/>
        <w:rPr>
          <w:rFonts w:ascii="宋体" w:eastAsia="黑体" w:hAnsi="宋体"/>
          <w:bCs/>
          <w:kern w:val="0"/>
          <w:sz w:val="28"/>
          <w:szCs w:val="28"/>
        </w:rPr>
      </w:pPr>
      <w:r>
        <w:rPr>
          <w:rFonts w:ascii="宋体" w:eastAsia="黑体" w:hAnsi="宋体"/>
          <w:bCs/>
          <w:kern w:val="0"/>
          <w:sz w:val="28"/>
          <w:szCs w:val="28"/>
        </w:rPr>
        <w:t>1.5</w:t>
      </w:r>
      <w:r>
        <w:rPr>
          <w:rFonts w:ascii="宋体" w:eastAsia="黑体" w:hAnsi="宋体" w:hint="eastAsia"/>
          <w:bCs/>
          <w:kern w:val="0"/>
          <w:sz w:val="28"/>
          <w:szCs w:val="28"/>
        </w:rPr>
        <w:t>外观样式</w:t>
      </w:r>
    </w:p>
    <w:p w14:paraId="4E930E0A" w14:textId="77777777" w:rsidR="00B43FBA" w:rsidRDefault="001D024B">
      <w:pPr>
        <w:jc w:val="center"/>
        <w:rPr>
          <w:rFonts w:ascii="宋体" w:eastAsia="黑体" w:hAnsi="宋体"/>
          <w:bCs/>
          <w:kern w:val="0"/>
          <w:sz w:val="28"/>
          <w:szCs w:val="28"/>
        </w:rPr>
      </w:pPr>
      <w:r>
        <w:rPr>
          <w:rFonts w:ascii="宋体" w:hAnsi="宋体" w:hint="eastAsia"/>
          <w:b/>
          <w:noProof/>
          <w:kern w:val="0"/>
          <w:sz w:val="24"/>
        </w:rPr>
        <w:drawing>
          <wp:inline distT="0" distB="0" distL="114300" distR="114300" wp14:anchorId="05092ACD" wp14:editId="6DFB5309">
            <wp:extent cx="5650703" cy="3217601"/>
            <wp:effectExtent l="0" t="0" r="7620" b="1905"/>
            <wp:docPr id="1" name="图片 1" descr="2a8f92b888c6a6679c4b02647c377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8f92b888c6a6679c4b02647c3775a"/>
                    <pic:cNvPicPr>
                      <a:picLocks noChangeAspect="1"/>
                    </pic:cNvPicPr>
                  </pic:nvPicPr>
                  <pic:blipFill>
                    <a:blip r:embed="rId7"/>
                    <a:stretch>
                      <a:fillRect/>
                    </a:stretch>
                  </pic:blipFill>
                  <pic:spPr>
                    <a:xfrm>
                      <a:off x="0" y="0"/>
                      <a:ext cx="5681668" cy="3235233"/>
                    </a:xfrm>
                    <a:prstGeom prst="rect">
                      <a:avLst/>
                    </a:prstGeom>
                  </pic:spPr>
                </pic:pic>
              </a:graphicData>
            </a:graphic>
          </wp:inline>
        </w:drawing>
      </w:r>
    </w:p>
    <w:p w14:paraId="7A8E7AC8" w14:textId="77777777" w:rsidR="00B43FBA" w:rsidRDefault="00B43FBA">
      <w:pPr>
        <w:spacing w:line="360" w:lineRule="auto"/>
        <w:rPr>
          <w:rFonts w:ascii="宋体" w:hAnsi="宋体"/>
          <w:b/>
          <w:kern w:val="0"/>
          <w:sz w:val="24"/>
        </w:rPr>
      </w:pPr>
    </w:p>
    <w:p w14:paraId="4709531A" w14:textId="77777777" w:rsidR="00B43FBA" w:rsidRDefault="00B43FBA">
      <w:pPr>
        <w:spacing w:line="360" w:lineRule="auto"/>
        <w:rPr>
          <w:rFonts w:ascii="宋体" w:hAnsi="宋体"/>
          <w:b/>
          <w:kern w:val="0"/>
          <w:sz w:val="24"/>
        </w:rPr>
      </w:pPr>
    </w:p>
    <w:p w14:paraId="4BC5DD71" w14:textId="77777777" w:rsidR="00B43FBA" w:rsidRDefault="00B43FBA">
      <w:pPr>
        <w:spacing w:line="360" w:lineRule="auto"/>
        <w:rPr>
          <w:rFonts w:ascii="宋体" w:hAnsi="宋体"/>
          <w:b/>
          <w:kern w:val="0"/>
          <w:sz w:val="24"/>
        </w:rPr>
      </w:pPr>
    </w:p>
    <w:p w14:paraId="00CD1F75" w14:textId="77777777" w:rsidR="00B43FBA" w:rsidRDefault="00B43FBA">
      <w:pPr>
        <w:spacing w:line="360" w:lineRule="auto"/>
        <w:rPr>
          <w:rFonts w:ascii="宋体" w:hAnsi="宋体"/>
          <w:b/>
          <w:kern w:val="0"/>
          <w:sz w:val="24"/>
        </w:rPr>
      </w:pPr>
    </w:p>
    <w:p w14:paraId="583C7217" w14:textId="77777777" w:rsidR="00B43FBA" w:rsidRDefault="00B43FBA">
      <w:pPr>
        <w:spacing w:line="360" w:lineRule="auto"/>
        <w:rPr>
          <w:rFonts w:ascii="宋体" w:hAnsi="宋体"/>
          <w:b/>
          <w:kern w:val="0"/>
          <w:sz w:val="24"/>
        </w:rPr>
      </w:pPr>
    </w:p>
    <w:p w14:paraId="21F1CB1A" w14:textId="77777777" w:rsidR="00B43FBA" w:rsidRDefault="00B43FBA">
      <w:pPr>
        <w:spacing w:line="360" w:lineRule="auto"/>
        <w:rPr>
          <w:rFonts w:ascii="宋体" w:hAnsi="宋体"/>
          <w:b/>
          <w:kern w:val="0"/>
          <w:sz w:val="24"/>
        </w:rPr>
      </w:pPr>
    </w:p>
    <w:p w14:paraId="54097538" w14:textId="77777777" w:rsidR="00B43FBA" w:rsidRDefault="00B43FBA">
      <w:pPr>
        <w:spacing w:line="360" w:lineRule="auto"/>
        <w:rPr>
          <w:rFonts w:ascii="宋体" w:hAnsi="宋体"/>
          <w:b/>
          <w:kern w:val="0"/>
          <w:sz w:val="24"/>
        </w:rPr>
      </w:pPr>
    </w:p>
    <w:p w14:paraId="09E2B7D8" w14:textId="77777777" w:rsidR="00B43FBA" w:rsidRDefault="00B43FBA">
      <w:pPr>
        <w:spacing w:line="360" w:lineRule="auto"/>
        <w:rPr>
          <w:rFonts w:ascii="宋体" w:hAnsi="宋体"/>
          <w:b/>
          <w:kern w:val="0"/>
          <w:sz w:val="24"/>
        </w:rPr>
      </w:pPr>
    </w:p>
    <w:p w14:paraId="59B38C6B" w14:textId="77777777" w:rsidR="00B43FBA" w:rsidRDefault="00B43FBA">
      <w:pPr>
        <w:spacing w:line="360" w:lineRule="auto"/>
        <w:rPr>
          <w:rFonts w:ascii="宋体" w:hAnsi="宋体"/>
          <w:b/>
          <w:kern w:val="0"/>
          <w:sz w:val="24"/>
        </w:rPr>
      </w:pPr>
    </w:p>
    <w:p w14:paraId="581ED27D" w14:textId="77777777" w:rsidR="00B43FBA" w:rsidRDefault="00B43FBA">
      <w:pPr>
        <w:spacing w:line="360" w:lineRule="auto"/>
        <w:rPr>
          <w:rFonts w:ascii="宋体" w:hAnsi="宋体"/>
          <w:b/>
          <w:kern w:val="0"/>
          <w:sz w:val="24"/>
        </w:rPr>
      </w:pPr>
    </w:p>
    <w:p w14:paraId="317DFBA6" w14:textId="77777777" w:rsidR="00B43FBA" w:rsidRDefault="00B43FBA">
      <w:pPr>
        <w:spacing w:line="360" w:lineRule="auto"/>
        <w:rPr>
          <w:rFonts w:ascii="宋体" w:hAnsi="宋体"/>
          <w:b/>
          <w:kern w:val="0"/>
          <w:sz w:val="24"/>
        </w:rPr>
      </w:pPr>
    </w:p>
    <w:p w14:paraId="492BDAE8" w14:textId="77777777" w:rsidR="00B43FBA" w:rsidRDefault="00B43FBA">
      <w:pPr>
        <w:spacing w:line="360" w:lineRule="auto"/>
        <w:rPr>
          <w:rFonts w:ascii="宋体" w:hAnsi="宋体"/>
          <w:b/>
          <w:kern w:val="0"/>
          <w:sz w:val="24"/>
        </w:rPr>
      </w:pPr>
    </w:p>
    <w:p w14:paraId="3279DAB0" w14:textId="77777777" w:rsidR="00B43FBA" w:rsidRDefault="00B43FBA">
      <w:pPr>
        <w:spacing w:line="360" w:lineRule="auto"/>
        <w:rPr>
          <w:rFonts w:ascii="宋体" w:hAnsi="宋体"/>
          <w:b/>
          <w:kern w:val="0"/>
          <w:sz w:val="24"/>
        </w:rPr>
      </w:pPr>
    </w:p>
    <w:bookmarkEnd w:id="0"/>
    <w:bookmarkEnd w:id="1"/>
    <w:bookmarkEnd w:id="2"/>
    <w:bookmarkEnd w:id="3"/>
    <w:bookmarkEnd w:id="4"/>
    <w:bookmarkEnd w:id="5"/>
    <w:p w14:paraId="07C754B4" w14:textId="77777777" w:rsidR="00B43FBA" w:rsidRDefault="00B43FBA">
      <w:pPr>
        <w:spacing w:line="360" w:lineRule="auto"/>
        <w:rPr>
          <w:rFonts w:ascii="宋体" w:hAnsi="宋体"/>
          <w:b/>
          <w:kern w:val="0"/>
          <w:sz w:val="24"/>
        </w:rPr>
      </w:pPr>
    </w:p>
    <w:sectPr w:rsidR="00B43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101"/>
    <w:multiLevelType w:val="multilevel"/>
    <w:tmpl w:val="06D84101"/>
    <w:lvl w:ilvl="0">
      <w:start w:val="1"/>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1475AB"/>
    <w:multiLevelType w:val="multilevel"/>
    <w:tmpl w:val="181475AB"/>
    <w:lvl w:ilvl="0">
      <w:start w:val="1"/>
      <w:numFmt w:val="decimal"/>
      <w:pStyle w:val="Q2"/>
      <w:lvlText w:val="%1."/>
      <w:lvlJc w:val="left"/>
      <w:pPr>
        <w:ind w:left="720" w:hanging="360"/>
      </w:pPr>
      <w:rPr>
        <w:rFonts w:ascii="Arial" w:hAnsi="Arial" w:cs="Arial" w:hint="default"/>
        <w:b w:val="0"/>
      </w:rPr>
    </w:lvl>
    <w:lvl w:ilvl="1">
      <w:start w:val="1"/>
      <w:numFmt w:val="decimal"/>
      <w:pStyle w:val="Q3"/>
      <w:isLgl/>
      <w:lvlText w:val="%1.%2"/>
      <w:lvlJc w:val="left"/>
      <w:pPr>
        <w:ind w:left="870" w:hanging="390"/>
      </w:pPr>
      <w:rPr>
        <w:rFonts w:hint="default"/>
        <w:b w:val="0"/>
      </w:rPr>
    </w:lvl>
    <w:lvl w:ilvl="2">
      <w:start w:val="1"/>
      <w:numFmt w:val="decimal"/>
      <w:pStyle w:val="Q4"/>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35"/>
    <w:rsid w:val="0000211E"/>
    <w:rsid w:val="0000507F"/>
    <w:rsid w:val="00013BE2"/>
    <w:rsid w:val="000234E0"/>
    <w:rsid w:val="000242CF"/>
    <w:rsid w:val="00026C77"/>
    <w:rsid w:val="00027881"/>
    <w:rsid w:val="00027E57"/>
    <w:rsid w:val="00027EF0"/>
    <w:rsid w:val="00030A18"/>
    <w:rsid w:val="00031610"/>
    <w:rsid w:val="00032E46"/>
    <w:rsid w:val="00041915"/>
    <w:rsid w:val="00047F5C"/>
    <w:rsid w:val="00051044"/>
    <w:rsid w:val="000529AE"/>
    <w:rsid w:val="000571B2"/>
    <w:rsid w:val="00060E51"/>
    <w:rsid w:val="000620FD"/>
    <w:rsid w:val="000634E8"/>
    <w:rsid w:val="0006382F"/>
    <w:rsid w:val="00065B9E"/>
    <w:rsid w:val="00067DA4"/>
    <w:rsid w:val="00074BCF"/>
    <w:rsid w:val="00075688"/>
    <w:rsid w:val="00076AC5"/>
    <w:rsid w:val="0008266F"/>
    <w:rsid w:val="00084D1A"/>
    <w:rsid w:val="00091382"/>
    <w:rsid w:val="00091683"/>
    <w:rsid w:val="00095058"/>
    <w:rsid w:val="00096ADC"/>
    <w:rsid w:val="000970DB"/>
    <w:rsid w:val="000A2C33"/>
    <w:rsid w:val="000A3D8D"/>
    <w:rsid w:val="000A473A"/>
    <w:rsid w:val="000A58C2"/>
    <w:rsid w:val="000A5AF3"/>
    <w:rsid w:val="000B3519"/>
    <w:rsid w:val="000B3986"/>
    <w:rsid w:val="000B5E23"/>
    <w:rsid w:val="000B72C1"/>
    <w:rsid w:val="000B7DAF"/>
    <w:rsid w:val="000B7FCE"/>
    <w:rsid w:val="000C09BC"/>
    <w:rsid w:val="000C112A"/>
    <w:rsid w:val="000C391A"/>
    <w:rsid w:val="000D23E6"/>
    <w:rsid w:val="000D5992"/>
    <w:rsid w:val="000D5D1E"/>
    <w:rsid w:val="000D7313"/>
    <w:rsid w:val="000D760C"/>
    <w:rsid w:val="000E0743"/>
    <w:rsid w:val="000E0D60"/>
    <w:rsid w:val="000E0E03"/>
    <w:rsid w:val="000E1153"/>
    <w:rsid w:val="000F118D"/>
    <w:rsid w:val="000F53D2"/>
    <w:rsid w:val="000F6FA7"/>
    <w:rsid w:val="00106653"/>
    <w:rsid w:val="00112774"/>
    <w:rsid w:val="00112DBA"/>
    <w:rsid w:val="00120AB4"/>
    <w:rsid w:val="001220E1"/>
    <w:rsid w:val="00124879"/>
    <w:rsid w:val="001330F4"/>
    <w:rsid w:val="0013454E"/>
    <w:rsid w:val="00135181"/>
    <w:rsid w:val="00137482"/>
    <w:rsid w:val="00137723"/>
    <w:rsid w:val="001472A8"/>
    <w:rsid w:val="00150617"/>
    <w:rsid w:val="00150A1F"/>
    <w:rsid w:val="00152BAA"/>
    <w:rsid w:val="0016032E"/>
    <w:rsid w:val="0016295F"/>
    <w:rsid w:val="001642DD"/>
    <w:rsid w:val="001668EA"/>
    <w:rsid w:val="00170A65"/>
    <w:rsid w:val="00173A6D"/>
    <w:rsid w:val="0017616E"/>
    <w:rsid w:val="001766CE"/>
    <w:rsid w:val="00177CC7"/>
    <w:rsid w:val="00177D43"/>
    <w:rsid w:val="00180177"/>
    <w:rsid w:val="00183E5B"/>
    <w:rsid w:val="00184FE3"/>
    <w:rsid w:val="001855E1"/>
    <w:rsid w:val="00185C11"/>
    <w:rsid w:val="00191387"/>
    <w:rsid w:val="00192F44"/>
    <w:rsid w:val="001934CA"/>
    <w:rsid w:val="001943A6"/>
    <w:rsid w:val="00195B08"/>
    <w:rsid w:val="0019636B"/>
    <w:rsid w:val="001A0401"/>
    <w:rsid w:val="001A17E9"/>
    <w:rsid w:val="001A1CF1"/>
    <w:rsid w:val="001A4A5F"/>
    <w:rsid w:val="001A6F04"/>
    <w:rsid w:val="001B7852"/>
    <w:rsid w:val="001B7935"/>
    <w:rsid w:val="001C0848"/>
    <w:rsid w:val="001D024B"/>
    <w:rsid w:val="001D03E6"/>
    <w:rsid w:val="001D07E5"/>
    <w:rsid w:val="001D639D"/>
    <w:rsid w:val="001D6D1C"/>
    <w:rsid w:val="001E1CBB"/>
    <w:rsid w:val="001F05C6"/>
    <w:rsid w:val="001F14B0"/>
    <w:rsid w:val="00201299"/>
    <w:rsid w:val="002132E3"/>
    <w:rsid w:val="002248D0"/>
    <w:rsid w:val="00225ECD"/>
    <w:rsid w:val="00230E1C"/>
    <w:rsid w:val="002310A1"/>
    <w:rsid w:val="0023197A"/>
    <w:rsid w:val="00231F31"/>
    <w:rsid w:val="00234B1D"/>
    <w:rsid w:val="00235480"/>
    <w:rsid w:val="00237943"/>
    <w:rsid w:val="00251309"/>
    <w:rsid w:val="0025673B"/>
    <w:rsid w:val="00257F89"/>
    <w:rsid w:val="00262B17"/>
    <w:rsid w:val="002630BB"/>
    <w:rsid w:val="002745AA"/>
    <w:rsid w:val="00276DCB"/>
    <w:rsid w:val="00287656"/>
    <w:rsid w:val="00287BC3"/>
    <w:rsid w:val="00290203"/>
    <w:rsid w:val="002917E6"/>
    <w:rsid w:val="00296F20"/>
    <w:rsid w:val="002977D2"/>
    <w:rsid w:val="002A19B8"/>
    <w:rsid w:val="002A3159"/>
    <w:rsid w:val="002A6811"/>
    <w:rsid w:val="002B0AE0"/>
    <w:rsid w:val="002C0760"/>
    <w:rsid w:val="002C17F4"/>
    <w:rsid w:val="002C4100"/>
    <w:rsid w:val="002C4568"/>
    <w:rsid w:val="002C64D0"/>
    <w:rsid w:val="002C68AE"/>
    <w:rsid w:val="002D16EE"/>
    <w:rsid w:val="002D67D9"/>
    <w:rsid w:val="002E78CB"/>
    <w:rsid w:val="002F36C0"/>
    <w:rsid w:val="002F36D3"/>
    <w:rsid w:val="002F43E2"/>
    <w:rsid w:val="002F5563"/>
    <w:rsid w:val="002F601C"/>
    <w:rsid w:val="002F7422"/>
    <w:rsid w:val="00300250"/>
    <w:rsid w:val="00307A2E"/>
    <w:rsid w:val="003102BA"/>
    <w:rsid w:val="00312B33"/>
    <w:rsid w:val="00312B66"/>
    <w:rsid w:val="00313068"/>
    <w:rsid w:val="003147F9"/>
    <w:rsid w:val="00316236"/>
    <w:rsid w:val="00323067"/>
    <w:rsid w:val="0032483A"/>
    <w:rsid w:val="003250B1"/>
    <w:rsid w:val="0032667A"/>
    <w:rsid w:val="00335CF4"/>
    <w:rsid w:val="00335D68"/>
    <w:rsid w:val="00343CFF"/>
    <w:rsid w:val="00347C3B"/>
    <w:rsid w:val="003509D4"/>
    <w:rsid w:val="00351604"/>
    <w:rsid w:val="0035246E"/>
    <w:rsid w:val="003530C1"/>
    <w:rsid w:val="0035532B"/>
    <w:rsid w:val="00360265"/>
    <w:rsid w:val="00360E94"/>
    <w:rsid w:val="003630ED"/>
    <w:rsid w:val="00363135"/>
    <w:rsid w:val="00366241"/>
    <w:rsid w:val="0037562A"/>
    <w:rsid w:val="00386BE3"/>
    <w:rsid w:val="00387F6E"/>
    <w:rsid w:val="0039417A"/>
    <w:rsid w:val="003958C8"/>
    <w:rsid w:val="00397EFC"/>
    <w:rsid w:val="003A0F63"/>
    <w:rsid w:val="003A1682"/>
    <w:rsid w:val="003A35F1"/>
    <w:rsid w:val="003A3F59"/>
    <w:rsid w:val="003B153D"/>
    <w:rsid w:val="003B33C9"/>
    <w:rsid w:val="003C1272"/>
    <w:rsid w:val="003C403C"/>
    <w:rsid w:val="003C4ECF"/>
    <w:rsid w:val="003C66CB"/>
    <w:rsid w:val="003D03CE"/>
    <w:rsid w:val="003D0983"/>
    <w:rsid w:val="003D1868"/>
    <w:rsid w:val="003D240E"/>
    <w:rsid w:val="003D40B4"/>
    <w:rsid w:val="003D4B50"/>
    <w:rsid w:val="003D6087"/>
    <w:rsid w:val="003D77F4"/>
    <w:rsid w:val="003E019C"/>
    <w:rsid w:val="003E173D"/>
    <w:rsid w:val="003E2601"/>
    <w:rsid w:val="003F027E"/>
    <w:rsid w:val="003F13DC"/>
    <w:rsid w:val="003F14D8"/>
    <w:rsid w:val="003F1B7A"/>
    <w:rsid w:val="003F5591"/>
    <w:rsid w:val="00400C7D"/>
    <w:rsid w:val="004014F5"/>
    <w:rsid w:val="00401B4F"/>
    <w:rsid w:val="004057CF"/>
    <w:rsid w:val="00405D4F"/>
    <w:rsid w:val="00410B59"/>
    <w:rsid w:val="00417F79"/>
    <w:rsid w:val="00423563"/>
    <w:rsid w:val="00425FA5"/>
    <w:rsid w:val="00430E24"/>
    <w:rsid w:val="00432E68"/>
    <w:rsid w:val="00434294"/>
    <w:rsid w:val="00435003"/>
    <w:rsid w:val="00435C1A"/>
    <w:rsid w:val="0043661B"/>
    <w:rsid w:val="00445A0D"/>
    <w:rsid w:val="00451182"/>
    <w:rsid w:val="00451B0A"/>
    <w:rsid w:val="00453479"/>
    <w:rsid w:val="00453C61"/>
    <w:rsid w:val="004564AD"/>
    <w:rsid w:val="00461E94"/>
    <w:rsid w:val="00467244"/>
    <w:rsid w:val="0047042E"/>
    <w:rsid w:val="00473FB5"/>
    <w:rsid w:val="004844DD"/>
    <w:rsid w:val="00486899"/>
    <w:rsid w:val="004873CF"/>
    <w:rsid w:val="004913BA"/>
    <w:rsid w:val="00495744"/>
    <w:rsid w:val="004970A9"/>
    <w:rsid w:val="00497940"/>
    <w:rsid w:val="004A0BBD"/>
    <w:rsid w:val="004A1E30"/>
    <w:rsid w:val="004A4D94"/>
    <w:rsid w:val="004A52E7"/>
    <w:rsid w:val="004B0055"/>
    <w:rsid w:val="004B0500"/>
    <w:rsid w:val="004B1756"/>
    <w:rsid w:val="004B2026"/>
    <w:rsid w:val="004B5D90"/>
    <w:rsid w:val="004B784C"/>
    <w:rsid w:val="004C0DA0"/>
    <w:rsid w:val="004C1384"/>
    <w:rsid w:val="004C1A2C"/>
    <w:rsid w:val="004D0335"/>
    <w:rsid w:val="004D05B7"/>
    <w:rsid w:val="004D07A2"/>
    <w:rsid w:val="004D2F88"/>
    <w:rsid w:val="004D3D89"/>
    <w:rsid w:val="004D69BB"/>
    <w:rsid w:val="004D7C82"/>
    <w:rsid w:val="004E074B"/>
    <w:rsid w:val="004E0DDD"/>
    <w:rsid w:val="004E33E8"/>
    <w:rsid w:val="004E442C"/>
    <w:rsid w:val="004E7371"/>
    <w:rsid w:val="004F428B"/>
    <w:rsid w:val="00502F61"/>
    <w:rsid w:val="005037D6"/>
    <w:rsid w:val="00506F81"/>
    <w:rsid w:val="0050717A"/>
    <w:rsid w:val="0050718B"/>
    <w:rsid w:val="00512624"/>
    <w:rsid w:val="00522C70"/>
    <w:rsid w:val="00527D9E"/>
    <w:rsid w:val="00530DE6"/>
    <w:rsid w:val="0053102A"/>
    <w:rsid w:val="00531171"/>
    <w:rsid w:val="005327F2"/>
    <w:rsid w:val="00537CA5"/>
    <w:rsid w:val="00542360"/>
    <w:rsid w:val="005429A2"/>
    <w:rsid w:val="0054309F"/>
    <w:rsid w:val="0054411B"/>
    <w:rsid w:val="0055057D"/>
    <w:rsid w:val="00551179"/>
    <w:rsid w:val="00556A50"/>
    <w:rsid w:val="00557F03"/>
    <w:rsid w:val="0056174A"/>
    <w:rsid w:val="00565E1F"/>
    <w:rsid w:val="00570385"/>
    <w:rsid w:val="00570B62"/>
    <w:rsid w:val="0057360A"/>
    <w:rsid w:val="00580F78"/>
    <w:rsid w:val="00583578"/>
    <w:rsid w:val="00585781"/>
    <w:rsid w:val="0058741D"/>
    <w:rsid w:val="00590835"/>
    <w:rsid w:val="005943C8"/>
    <w:rsid w:val="005956C7"/>
    <w:rsid w:val="005966A4"/>
    <w:rsid w:val="005A0D49"/>
    <w:rsid w:val="005A186A"/>
    <w:rsid w:val="005A6545"/>
    <w:rsid w:val="005A67AB"/>
    <w:rsid w:val="005A6F0E"/>
    <w:rsid w:val="005A7666"/>
    <w:rsid w:val="005B0A77"/>
    <w:rsid w:val="005B0EFB"/>
    <w:rsid w:val="005B220A"/>
    <w:rsid w:val="005B4068"/>
    <w:rsid w:val="005B5C00"/>
    <w:rsid w:val="005C2969"/>
    <w:rsid w:val="005C4DA8"/>
    <w:rsid w:val="005C72AB"/>
    <w:rsid w:val="005C735C"/>
    <w:rsid w:val="005D1757"/>
    <w:rsid w:val="005D1ECE"/>
    <w:rsid w:val="005D278F"/>
    <w:rsid w:val="005D56C6"/>
    <w:rsid w:val="005D6077"/>
    <w:rsid w:val="005E224E"/>
    <w:rsid w:val="005E3005"/>
    <w:rsid w:val="005F1C1D"/>
    <w:rsid w:val="005F2B79"/>
    <w:rsid w:val="005F6099"/>
    <w:rsid w:val="00605C89"/>
    <w:rsid w:val="00613121"/>
    <w:rsid w:val="00620A03"/>
    <w:rsid w:val="0062200E"/>
    <w:rsid w:val="006257BC"/>
    <w:rsid w:val="00626E96"/>
    <w:rsid w:val="00632074"/>
    <w:rsid w:val="00632443"/>
    <w:rsid w:val="00635495"/>
    <w:rsid w:val="00636107"/>
    <w:rsid w:val="00636DD9"/>
    <w:rsid w:val="0063715C"/>
    <w:rsid w:val="00640CAF"/>
    <w:rsid w:val="00644E2E"/>
    <w:rsid w:val="00645712"/>
    <w:rsid w:val="00650DBF"/>
    <w:rsid w:val="00655B67"/>
    <w:rsid w:val="00656D94"/>
    <w:rsid w:val="00661038"/>
    <w:rsid w:val="00661600"/>
    <w:rsid w:val="00661FA3"/>
    <w:rsid w:val="0066205F"/>
    <w:rsid w:val="0066624A"/>
    <w:rsid w:val="006664C9"/>
    <w:rsid w:val="0066713E"/>
    <w:rsid w:val="00670F02"/>
    <w:rsid w:val="00672CF1"/>
    <w:rsid w:val="00673D7D"/>
    <w:rsid w:val="00676C0E"/>
    <w:rsid w:val="00682313"/>
    <w:rsid w:val="00682CD2"/>
    <w:rsid w:val="006840F4"/>
    <w:rsid w:val="006902BB"/>
    <w:rsid w:val="00691247"/>
    <w:rsid w:val="006916C1"/>
    <w:rsid w:val="0069356C"/>
    <w:rsid w:val="00695887"/>
    <w:rsid w:val="00695E9B"/>
    <w:rsid w:val="00697BF9"/>
    <w:rsid w:val="006A0471"/>
    <w:rsid w:val="006A3110"/>
    <w:rsid w:val="006A4784"/>
    <w:rsid w:val="006A4D6E"/>
    <w:rsid w:val="006B1C35"/>
    <w:rsid w:val="006B7234"/>
    <w:rsid w:val="006C0CAD"/>
    <w:rsid w:val="006C1BAE"/>
    <w:rsid w:val="006C336D"/>
    <w:rsid w:val="006C3B2B"/>
    <w:rsid w:val="006C455C"/>
    <w:rsid w:val="006D150D"/>
    <w:rsid w:val="006D1F54"/>
    <w:rsid w:val="006D333C"/>
    <w:rsid w:val="006D70FE"/>
    <w:rsid w:val="006E0EB4"/>
    <w:rsid w:val="006E1042"/>
    <w:rsid w:val="006E36FD"/>
    <w:rsid w:val="006E38F6"/>
    <w:rsid w:val="006E4E17"/>
    <w:rsid w:val="006E5213"/>
    <w:rsid w:val="006E6546"/>
    <w:rsid w:val="006E6D77"/>
    <w:rsid w:val="006E73CD"/>
    <w:rsid w:val="006E776B"/>
    <w:rsid w:val="006F0AD0"/>
    <w:rsid w:val="006F1006"/>
    <w:rsid w:val="006F1DF6"/>
    <w:rsid w:val="006F4BE7"/>
    <w:rsid w:val="006F7E98"/>
    <w:rsid w:val="00701BC2"/>
    <w:rsid w:val="00704451"/>
    <w:rsid w:val="00706F6C"/>
    <w:rsid w:val="00711B19"/>
    <w:rsid w:val="007128A3"/>
    <w:rsid w:val="00712A1E"/>
    <w:rsid w:val="00715AC6"/>
    <w:rsid w:val="00716C4A"/>
    <w:rsid w:val="007177F1"/>
    <w:rsid w:val="00717D81"/>
    <w:rsid w:val="007212D6"/>
    <w:rsid w:val="007231BA"/>
    <w:rsid w:val="007233D0"/>
    <w:rsid w:val="00723B78"/>
    <w:rsid w:val="00730324"/>
    <w:rsid w:val="00730962"/>
    <w:rsid w:val="0073365C"/>
    <w:rsid w:val="0073494C"/>
    <w:rsid w:val="00740F49"/>
    <w:rsid w:val="00743AE1"/>
    <w:rsid w:val="00747397"/>
    <w:rsid w:val="0075040D"/>
    <w:rsid w:val="007507FC"/>
    <w:rsid w:val="007513FA"/>
    <w:rsid w:val="0075152E"/>
    <w:rsid w:val="00752D09"/>
    <w:rsid w:val="00755B4E"/>
    <w:rsid w:val="00755CA0"/>
    <w:rsid w:val="0075771B"/>
    <w:rsid w:val="00761029"/>
    <w:rsid w:val="0076146A"/>
    <w:rsid w:val="0076547D"/>
    <w:rsid w:val="007673AC"/>
    <w:rsid w:val="00770641"/>
    <w:rsid w:val="007710EC"/>
    <w:rsid w:val="00775C51"/>
    <w:rsid w:val="00776981"/>
    <w:rsid w:val="00777492"/>
    <w:rsid w:val="00781556"/>
    <w:rsid w:val="00785C69"/>
    <w:rsid w:val="00796C0C"/>
    <w:rsid w:val="00797BCF"/>
    <w:rsid w:val="007A0EF1"/>
    <w:rsid w:val="007A22BA"/>
    <w:rsid w:val="007A3F46"/>
    <w:rsid w:val="007B0988"/>
    <w:rsid w:val="007B2147"/>
    <w:rsid w:val="007B4A31"/>
    <w:rsid w:val="007B58FD"/>
    <w:rsid w:val="007C1406"/>
    <w:rsid w:val="007C2C00"/>
    <w:rsid w:val="007C6D93"/>
    <w:rsid w:val="007D170A"/>
    <w:rsid w:val="007D4215"/>
    <w:rsid w:val="007D6146"/>
    <w:rsid w:val="007E0137"/>
    <w:rsid w:val="007E0FE5"/>
    <w:rsid w:val="007E2363"/>
    <w:rsid w:val="007E4B46"/>
    <w:rsid w:val="007E4D73"/>
    <w:rsid w:val="007E5C3A"/>
    <w:rsid w:val="007E7591"/>
    <w:rsid w:val="007F1DB6"/>
    <w:rsid w:val="007F330C"/>
    <w:rsid w:val="007F3FD6"/>
    <w:rsid w:val="007F45B6"/>
    <w:rsid w:val="008000F6"/>
    <w:rsid w:val="0080038B"/>
    <w:rsid w:val="008019BC"/>
    <w:rsid w:val="008027E7"/>
    <w:rsid w:val="00804586"/>
    <w:rsid w:val="00805727"/>
    <w:rsid w:val="0080585C"/>
    <w:rsid w:val="00811052"/>
    <w:rsid w:val="00811FB2"/>
    <w:rsid w:val="00812C0F"/>
    <w:rsid w:val="00813CA4"/>
    <w:rsid w:val="00813E8B"/>
    <w:rsid w:val="00824480"/>
    <w:rsid w:val="008255AE"/>
    <w:rsid w:val="008278E9"/>
    <w:rsid w:val="00834EB8"/>
    <w:rsid w:val="00836F0C"/>
    <w:rsid w:val="00840599"/>
    <w:rsid w:val="00841266"/>
    <w:rsid w:val="00841F29"/>
    <w:rsid w:val="008421BD"/>
    <w:rsid w:val="008425B1"/>
    <w:rsid w:val="00844387"/>
    <w:rsid w:val="0084602F"/>
    <w:rsid w:val="00846459"/>
    <w:rsid w:val="00846C1F"/>
    <w:rsid w:val="0084724A"/>
    <w:rsid w:val="0085012C"/>
    <w:rsid w:val="00851801"/>
    <w:rsid w:val="00851820"/>
    <w:rsid w:val="00854938"/>
    <w:rsid w:val="00860DB4"/>
    <w:rsid w:val="00860F53"/>
    <w:rsid w:val="0086464C"/>
    <w:rsid w:val="00866BA5"/>
    <w:rsid w:val="0086758F"/>
    <w:rsid w:val="00870832"/>
    <w:rsid w:val="00870893"/>
    <w:rsid w:val="00873738"/>
    <w:rsid w:val="00873990"/>
    <w:rsid w:val="00877EC6"/>
    <w:rsid w:val="00880FCE"/>
    <w:rsid w:val="00882543"/>
    <w:rsid w:val="00885D78"/>
    <w:rsid w:val="00886FBC"/>
    <w:rsid w:val="008917D2"/>
    <w:rsid w:val="008942E6"/>
    <w:rsid w:val="008A23E3"/>
    <w:rsid w:val="008A39AD"/>
    <w:rsid w:val="008A5BE4"/>
    <w:rsid w:val="008B2925"/>
    <w:rsid w:val="008B38DE"/>
    <w:rsid w:val="008B7FEF"/>
    <w:rsid w:val="008C0E52"/>
    <w:rsid w:val="008C2C69"/>
    <w:rsid w:val="008C3635"/>
    <w:rsid w:val="008C3D75"/>
    <w:rsid w:val="008C3E68"/>
    <w:rsid w:val="008C63D6"/>
    <w:rsid w:val="008D2B69"/>
    <w:rsid w:val="008D388B"/>
    <w:rsid w:val="008D3A59"/>
    <w:rsid w:val="008D4E0A"/>
    <w:rsid w:val="008D508E"/>
    <w:rsid w:val="008D78A6"/>
    <w:rsid w:val="008E5715"/>
    <w:rsid w:val="008E7F22"/>
    <w:rsid w:val="008F1384"/>
    <w:rsid w:val="008F24A0"/>
    <w:rsid w:val="008F4021"/>
    <w:rsid w:val="008F4FA9"/>
    <w:rsid w:val="008F60A8"/>
    <w:rsid w:val="0090154B"/>
    <w:rsid w:val="009032AC"/>
    <w:rsid w:val="00907DC5"/>
    <w:rsid w:val="00910F12"/>
    <w:rsid w:val="0091186F"/>
    <w:rsid w:val="0091336C"/>
    <w:rsid w:val="009143B6"/>
    <w:rsid w:val="009174FC"/>
    <w:rsid w:val="00917CD0"/>
    <w:rsid w:val="009263DA"/>
    <w:rsid w:val="0092798C"/>
    <w:rsid w:val="00934C34"/>
    <w:rsid w:val="00942452"/>
    <w:rsid w:val="0094634F"/>
    <w:rsid w:val="00946E23"/>
    <w:rsid w:val="00950BE0"/>
    <w:rsid w:val="00950EC4"/>
    <w:rsid w:val="009522D6"/>
    <w:rsid w:val="0095232B"/>
    <w:rsid w:val="0095288E"/>
    <w:rsid w:val="00953D1F"/>
    <w:rsid w:val="0095522A"/>
    <w:rsid w:val="00956988"/>
    <w:rsid w:val="0095702B"/>
    <w:rsid w:val="00960592"/>
    <w:rsid w:val="00961860"/>
    <w:rsid w:val="009626DE"/>
    <w:rsid w:val="00962B49"/>
    <w:rsid w:val="00965CF3"/>
    <w:rsid w:val="009666CD"/>
    <w:rsid w:val="00967CB2"/>
    <w:rsid w:val="00970A51"/>
    <w:rsid w:val="0097452F"/>
    <w:rsid w:val="009746FA"/>
    <w:rsid w:val="00974988"/>
    <w:rsid w:val="00974D41"/>
    <w:rsid w:val="00983E68"/>
    <w:rsid w:val="00987E47"/>
    <w:rsid w:val="00993FF5"/>
    <w:rsid w:val="00996DBA"/>
    <w:rsid w:val="009A1BC0"/>
    <w:rsid w:val="009A3F6A"/>
    <w:rsid w:val="009A4859"/>
    <w:rsid w:val="009A64E9"/>
    <w:rsid w:val="009B0B38"/>
    <w:rsid w:val="009B122B"/>
    <w:rsid w:val="009B366C"/>
    <w:rsid w:val="009B5A5F"/>
    <w:rsid w:val="009B5B82"/>
    <w:rsid w:val="009B62ED"/>
    <w:rsid w:val="009B7DFD"/>
    <w:rsid w:val="009C4B3E"/>
    <w:rsid w:val="009C6148"/>
    <w:rsid w:val="009D35EC"/>
    <w:rsid w:val="009D43D1"/>
    <w:rsid w:val="009D779E"/>
    <w:rsid w:val="009D7C94"/>
    <w:rsid w:val="009E4397"/>
    <w:rsid w:val="009E5439"/>
    <w:rsid w:val="009E66F0"/>
    <w:rsid w:val="009F1742"/>
    <w:rsid w:val="009F32FF"/>
    <w:rsid w:val="009F4814"/>
    <w:rsid w:val="00A03203"/>
    <w:rsid w:val="00A04E6C"/>
    <w:rsid w:val="00A04F41"/>
    <w:rsid w:val="00A12864"/>
    <w:rsid w:val="00A14B80"/>
    <w:rsid w:val="00A161CA"/>
    <w:rsid w:val="00A21A7F"/>
    <w:rsid w:val="00A22DAD"/>
    <w:rsid w:val="00A25F71"/>
    <w:rsid w:val="00A271E3"/>
    <w:rsid w:val="00A3094D"/>
    <w:rsid w:val="00A31AE3"/>
    <w:rsid w:val="00A32D14"/>
    <w:rsid w:val="00A34A60"/>
    <w:rsid w:val="00A37D6D"/>
    <w:rsid w:val="00A406ED"/>
    <w:rsid w:val="00A459F7"/>
    <w:rsid w:val="00A50E42"/>
    <w:rsid w:val="00A523D4"/>
    <w:rsid w:val="00A5310B"/>
    <w:rsid w:val="00A54C56"/>
    <w:rsid w:val="00A617DB"/>
    <w:rsid w:val="00A750C8"/>
    <w:rsid w:val="00A755CE"/>
    <w:rsid w:val="00A7657D"/>
    <w:rsid w:val="00A771D4"/>
    <w:rsid w:val="00A774B0"/>
    <w:rsid w:val="00A83226"/>
    <w:rsid w:val="00A83D01"/>
    <w:rsid w:val="00A87FDA"/>
    <w:rsid w:val="00A918F2"/>
    <w:rsid w:val="00A94884"/>
    <w:rsid w:val="00A96482"/>
    <w:rsid w:val="00A965DB"/>
    <w:rsid w:val="00A9685E"/>
    <w:rsid w:val="00A976B1"/>
    <w:rsid w:val="00AA01A4"/>
    <w:rsid w:val="00AA0D55"/>
    <w:rsid w:val="00AA264A"/>
    <w:rsid w:val="00AB094F"/>
    <w:rsid w:val="00AB1639"/>
    <w:rsid w:val="00AB2487"/>
    <w:rsid w:val="00AB3D41"/>
    <w:rsid w:val="00AB41DB"/>
    <w:rsid w:val="00AB5BF9"/>
    <w:rsid w:val="00AB6282"/>
    <w:rsid w:val="00AC17A6"/>
    <w:rsid w:val="00AD15CF"/>
    <w:rsid w:val="00AD2C13"/>
    <w:rsid w:val="00AD4A17"/>
    <w:rsid w:val="00AD5073"/>
    <w:rsid w:val="00AD676E"/>
    <w:rsid w:val="00AD6BC0"/>
    <w:rsid w:val="00AD6EB0"/>
    <w:rsid w:val="00AD7286"/>
    <w:rsid w:val="00AD7D86"/>
    <w:rsid w:val="00AE440C"/>
    <w:rsid w:val="00AE62A4"/>
    <w:rsid w:val="00AF13F3"/>
    <w:rsid w:val="00AF27BF"/>
    <w:rsid w:val="00AF2819"/>
    <w:rsid w:val="00AF2B79"/>
    <w:rsid w:val="00B00BC9"/>
    <w:rsid w:val="00B04C2C"/>
    <w:rsid w:val="00B10301"/>
    <w:rsid w:val="00B142E3"/>
    <w:rsid w:val="00B15756"/>
    <w:rsid w:val="00B26511"/>
    <w:rsid w:val="00B279D7"/>
    <w:rsid w:val="00B302CA"/>
    <w:rsid w:val="00B406EA"/>
    <w:rsid w:val="00B43FBA"/>
    <w:rsid w:val="00B44619"/>
    <w:rsid w:val="00B45CC9"/>
    <w:rsid w:val="00B4642F"/>
    <w:rsid w:val="00B534DA"/>
    <w:rsid w:val="00B558EC"/>
    <w:rsid w:val="00B60D6C"/>
    <w:rsid w:val="00B61FAE"/>
    <w:rsid w:val="00B64C42"/>
    <w:rsid w:val="00B6774F"/>
    <w:rsid w:val="00B70BFA"/>
    <w:rsid w:val="00B747A8"/>
    <w:rsid w:val="00B80AE1"/>
    <w:rsid w:val="00B818D4"/>
    <w:rsid w:val="00B85871"/>
    <w:rsid w:val="00B86BED"/>
    <w:rsid w:val="00B909AC"/>
    <w:rsid w:val="00B90C71"/>
    <w:rsid w:val="00B93477"/>
    <w:rsid w:val="00B93A39"/>
    <w:rsid w:val="00B93F6B"/>
    <w:rsid w:val="00B96D2B"/>
    <w:rsid w:val="00BA3285"/>
    <w:rsid w:val="00BA4574"/>
    <w:rsid w:val="00BA593C"/>
    <w:rsid w:val="00BA5AE3"/>
    <w:rsid w:val="00BB5258"/>
    <w:rsid w:val="00BB5D55"/>
    <w:rsid w:val="00BC2B20"/>
    <w:rsid w:val="00BC2B27"/>
    <w:rsid w:val="00BC5914"/>
    <w:rsid w:val="00BC69A5"/>
    <w:rsid w:val="00BC7225"/>
    <w:rsid w:val="00BD4B3A"/>
    <w:rsid w:val="00BD62DF"/>
    <w:rsid w:val="00BE047D"/>
    <w:rsid w:val="00BE0D68"/>
    <w:rsid w:val="00BE0FA4"/>
    <w:rsid w:val="00BE1D38"/>
    <w:rsid w:val="00BE3C8D"/>
    <w:rsid w:val="00BE423C"/>
    <w:rsid w:val="00BE5550"/>
    <w:rsid w:val="00BF06B3"/>
    <w:rsid w:val="00BF7A2D"/>
    <w:rsid w:val="00BF7A92"/>
    <w:rsid w:val="00BF7FE7"/>
    <w:rsid w:val="00C00BE0"/>
    <w:rsid w:val="00C01A3F"/>
    <w:rsid w:val="00C04984"/>
    <w:rsid w:val="00C04987"/>
    <w:rsid w:val="00C0589E"/>
    <w:rsid w:val="00C10713"/>
    <w:rsid w:val="00C10784"/>
    <w:rsid w:val="00C1567B"/>
    <w:rsid w:val="00C15F9C"/>
    <w:rsid w:val="00C20289"/>
    <w:rsid w:val="00C22B29"/>
    <w:rsid w:val="00C26D7F"/>
    <w:rsid w:val="00C27610"/>
    <w:rsid w:val="00C3278F"/>
    <w:rsid w:val="00C33662"/>
    <w:rsid w:val="00C33F19"/>
    <w:rsid w:val="00C357A4"/>
    <w:rsid w:val="00C37BE0"/>
    <w:rsid w:val="00C40182"/>
    <w:rsid w:val="00C4066F"/>
    <w:rsid w:val="00C41BAA"/>
    <w:rsid w:val="00C47CC2"/>
    <w:rsid w:val="00C5075D"/>
    <w:rsid w:val="00C51FBF"/>
    <w:rsid w:val="00C52127"/>
    <w:rsid w:val="00C55BC9"/>
    <w:rsid w:val="00C56161"/>
    <w:rsid w:val="00C60314"/>
    <w:rsid w:val="00C623B3"/>
    <w:rsid w:val="00C623DD"/>
    <w:rsid w:val="00C72A3D"/>
    <w:rsid w:val="00C7304F"/>
    <w:rsid w:val="00C74613"/>
    <w:rsid w:val="00C76002"/>
    <w:rsid w:val="00C76CB4"/>
    <w:rsid w:val="00C76E3E"/>
    <w:rsid w:val="00C774B6"/>
    <w:rsid w:val="00C77540"/>
    <w:rsid w:val="00C8088F"/>
    <w:rsid w:val="00C82D4A"/>
    <w:rsid w:val="00C86801"/>
    <w:rsid w:val="00C92796"/>
    <w:rsid w:val="00C92DB1"/>
    <w:rsid w:val="00C92F54"/>
    <w:rsid w:val="00C93BC0"/>
    <w:rsid w:val="00C95158"/>
    <w:rsid w:val="00C95D85"/>
    <w:rsid w:val="00C9705C"/>
    <w:rsid w:val="00C9708A"/>
    <w:rsid w:val="00CA08AA"/>
    <w:rsid w:val="00CA4A67"/>
    <w:rsid w:val="00CA5DC3"/>
    <w:rsid w:val="00CB1703"/>
    <w:rsid w:val="00CB25CE"/>
    <w:rsid w:val="00CC1E6B"/>
    <w:rsid w:val="00CC2C50"/>
    <w:rsid w:val="00CC46CD"/>
    <w:rsid w:val="00CC7349"/>
    <w:rsid w:val="00CD05BA"/>
    <w:rsid w:val="00CD2999"/>
    <w:rsid w:val="00CD44C9"/>
    <w:rsid w:val="00CE2CBF"/>
    <w:rsid w:val="00CE38B5"/>
    <w:rsid w:val="00CE3F1F"/>
    <w:rsid w:val="00CE605D"/>
    <w:rsid w:val="00CF1A27"/>
    <w:rsid w:val="00CF7128"/>
    <w:rsid w:val="00D0035B"/>
    <w:rsid w:val="00D00AE9"/>
    <w:rsid w:val="00D017AF"/>
    <w:rsid w:val="00D018B0"/>
    <w:rsid w:val="00D119A1"/>
    <w:rsid w:val="00D12356"/>
    <w:rsid w:val="00D132F2"/>
    <w:rsid w:val="00D1356A"/>
    <w:rsid w:val="00D1374A"/>
    <w:rsid w:val="00D143FB"/>
    <w:rsid w:val="00D17C39"/>
    <w:rsid w:val="00D215DD"/>
    <w:rsid w:val="00D21BCE"/>
    <w:rsid w:val="00D23515"/>
    <w:rsid w:val="00D260A4"/>
    <w:rsid w:val="00D305FD"/>
    <w:rsid w:val="00D31904"/>
    <w:rsid w:val="00D31BA5"/>
    <w:rsid w:val="00D3318B"/>
    <w:rsid w:val="00D34C94"/>
    <w:rsid w:val="00D35E98"/>
    <w:rsid w:val="00D3620C"/>
    <w:rsid w:val="00D36FED"/>
    <w:rsid w:val="00D42CF2"/>
    <w:rsid w:val="00D45B67"/>
    <w:rsid w:val="00D46147"/>
    <w:rsid w:val="00D462F5"/>
    <w:rsid w:val="00D472F8"/>
    <w:rsid w:val="00D560EC"/>
    <w:rsid w:val="00D75140"/>
    <w:rsid w:val="00D76107"/>
    <w:rsid w:val="00D766F3"/>
    <w:rsid w:val="00D852D4"/>
    <w:rsid w:val="00D85BA7"/>
    <w:rsid w:val="00D90C67"/>
    <w:rsid w:val="00DA12C8"/>
    <w:rsid w:val="00DA2019"/>
    <w:rsid w:val="00DA7EBC"/>
    <w:rsid w:val="00DB0CD7"/>
    <w:rsid w:val="00DB3B0F"/>
    <w:rsid w:val="00DC7853"/>
    <w:rsid w:val="00DD0A26"/>
    <w:rsid w:val="00DD3BC6"/>
    <w:rsid w:val="00DD5D1D"/>
    <w:rsid w:val="00DE02D2"/>
    <w:rsid w:val="00DE2201"/>
    <w:rsid w:val="00DE5EF6"/>
    <w:rsid w:val="00DE74CE"/>
    <w:rsid w:val="00DF0760"/>
    <w:rsid w:val="00DF2544"/>
    <w:rsid w:val="00DF56D4"/>
    <w:rsid w:val="00DF5E94"/>
    <w:rsid w:val="00E0060C"/>
    <w:rsid w:val="00E02839"/>
    <w:rsid w:val="00E11713"/>
    <w:rsid w:val="00E123D8"/>
    <w:rsid w:val="00E12879"/>
    <w:rsid w:val="00E142A4"/>
    <w:rsid w:val="00E15858"/>
    <w:rsid w:val="00E20E1B"/>
    <w:rsid w:val="00E216EA"/>
    <w:rsid w:val="00E23A3E"/>
    <w:rsid w:val="00E24D77"/>
    <w:rsid w:val="00E277A5"/>
    <w:rsid w:val="00E27A94"/>
    <w:rsid w:val="00E35FB1"/>
    <w:rsid w:val="00E40FE1"/>
    <w:rsid w:val="00E442CE"/>
    <w:rsid w:val="00E46515"/>
    <w:rsid w:val="00E5186B"/>
    <w:rsid w:val="00E51E4D"/>
    <w:rsid w:val="00E57B85"/>
    <w:rsid w:val="00E61371"/>
    <w:rsid w:val="00E613B4"/>
    <w:rsid w:val="00E70A0B"/>
    <w:rsid w:val="00E72A8B"/>
    <w:rsid w:val="00E74339"/>
    <w:rsid w:val="00E75D8B"/>
    <w:rsid w:val="00E76C16"/>
    <w:rsid w:val="00E77831"/>
    <w:rsid w:val="00E77C37"/>
    <w:rsid w:val="00E80650"/>
    <w:rsid w:val="00E83CBC"/>
    <w:rsid w:val="00E840EC"/>
    <w:rsid w:val="00E86F4F"/>
    <w:rsid w:val="00E92F3F"/>
    <w:rsid w:val="00EA095E"/>
    <w:rsid w:val="00EA234C"/>
    <w:rsid w:val="00EA2D7F"/>
    <w:rsid w:val="00EA714F"/>
    <w:rsid w:val="00EA7E44"/>
    <w:rsid w:val="00EB2126"/>
    <w:rsid w:val="00EB4608"/>
    <w:rsid w:val="00EB5286"/>
    <w:rsid w:val="00EB53E0"/>
    <w:rsid w:val="00EC24CD"/>
    <w:rsid w:val="00EC4635"/>
    <w:rsid w:val="00EC598B"/>
    <w:rsid w:val="00ED1C0C"/>
    <w:rsid w:val="00ED266D"/>
    <w:rsid w:val="00ED3383"/>
    <w:rsid w:val="00ED46B0"/>
    <w:rsid w:val="00ED4A01"/>
    <w:rsid w:val="00ED5FF4"/>
    <w:rsid w:val="00ED67CB"/>
    <w:rsid w:val="00ED71B4"/>
    <w:rsid w:val="00ED7AB0"/>
    <w:rsid w:val="00EE29D1"/>
    <w:rsid w:val="00EE6D1A"/>
    <w:rsid w:val="00EF21F3"/>
    <w:rsid w:val="00EF5D5F"/>
    <w:rsid w:val="00F005C8"/>
    <w:rsid w:val="00F0221F"/>
    <w:rsid w:val="00F0360E"/>
    <w:rsid w:val="00F10762"/>
    <w:rsid w:val="00F11D58"/>
    <w:rsid w:val="00F130C7"/>
    <w:rsid w:val="00F1638C"/>
    <w:rsid w:val="00F178A8"/>
    <w:rsid w:val="00F21C54"/>
    <w:rsid w:val="00F22302"/>
    <w:rsid w:val="00F23548"/>
    <w:rsid w:val="00F26D21"/>
    <w:rsid w:val="00F32FCB"/>
    <w:rsid w:val="00F34F8F"/>
    <w:rsid w:val="00F35909"/>
    <w:rsid w:val="00F35DB0"/>
    <w:rsid w:val="00F3607D"/>
    <w:rsid w:val="00F506FE"/>
    <w:rsid w:val="00F53C08"/>
    <w:rsid w:val="00F5545E"/>
    <w:rsid w:val="00F569E5"/>
    <w:rsid w:val="00F56A7D"/>
    <w:rsid w:val="00F634A4"/>
    <w:rsid w:val="00F65036"/>
    <w:rsid w:val="00F65B94"/>
    <w:rsid w:val="00F66454"/>
    <w:rsid w:val="00F67A1A"/>
    <w:rsid w:val="00F67B80"/>
    <w:rsid w:val="00F75352"/>
    <w:rsid w:val="00F77520"/>
    <w:rsid w:val="00F81767"/>
    <w:rsid w:val="00F83717"/>
    <w:rsid w:val="00F838C1"/>
    <w:rsid w:val="00F8405C"/>
    <w:rsid w:val="00F84DC6"/>
    <w:rsid w:val="00F866E1"/>
    <w:rsid w:val="00F9100D"/>
    <w:rsid w:val="00F916FF"/>
    <w:rsid w:val="00FA5477"/>
    <w:rsid w:val="00FB12FB"/>
    <w:rsid w:val="00FC25FF"/>
    <w:rsid w:val="00FD08F1"/>
    <w:rsid w:val="00FD182F"/>
    <w:rsid w:val="00FD3590"/>
    <w:rsid w:val="00FD512F"/>
    <w:rsid w:val="00FD5B67"/>
    <w:rsid w:val="00FE022A"/>
    <w:rsid w:val="00FE0289"/>
    <w:rsid w:val="00FE2230"/>
    <w:rsid w:val="00FE523B"/>
    <w:rsid w:val="00FE6408"/>
    <w:rsid w:val="00FF202A"/>
    <w:rsid w:val="00FF320E"/>
    <w:rsid w:val="00FF34CC"/>
    <w:rsid w:val="00FF6CED"/>
    <w:rsid w:val="1B7B5C4F"/>
    <w:rsid w:val="2BD90E6A"/>
    <w:rsid w:val="3EB35F8F"/>
    <w:rsid w:val="40D60896"/>
    <w:rsid w:val="49D67444"/>
    <w:rsid w:val="55AC0AF4"/>
    <w:rsid w:val="6D62163E"/>
    <w:rsid w:val="7B3C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3F83"/>
  <w15:docId w15:val="{89E7D6C8-B738-4100-9FBE-34035AB7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line="360" w:lineRule="auto"/>
      <w:outlineLvl w:val="0"/>
    </w:pPr>
    <w:rPr>
      <w:b/>
      <w:bCs/>
      <w:kern w:val="44"/>
      <w:sz w:val="32"/>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line="460" w:lineRule="exact"/>
      <w:ind w:firstLine="420"/>
    </w:pPr>
    <w:rPr>
      <w:rFonts w:ascii="仿宋_GB2312" w:eastAsia="仿宋_GB2312"/>
      <w:sz w:val="28"/>
      <w:szCs w:val="20"/>
    </w:rPr>
  </w:style>
  <w:style w:type="paragraph" w:styleId="a5">
    <w:name w:val="Body Text Indent"/>
    <w:basedOn w:val="a"/>
    <w:link w:val="a6"/>
    <w:qFormat/>
    <w:pPr>
      <w:spacing w:after="120"/>
      <w:ind w:leftChars="200" w:left="420"/>
    </w:pPr>
  </w:style>
  <w:style w:type="paragraph" w:styleId="a7">
    <w:name w:val="Plain Text"/>
    <w:basedOn w:val="a"/>
    <w:link w:val="a8"/>
    <w:qFormat/>
    <w:rPr>
      <w:rFonts w:ascii="宋体" w:eastAsiaTheme="minorEastAsia" w:hAnsi="Courier New" w:cstheme="minorBidi"/>
      <w:szCs w:val="22"/>
    </w:rPr>
  </w:style>
  <w:style w:type="paragraph" w:styleId="a9">
    <w:name w:val="Date"/>
    <w:basedOn w:val="a"/>
    <w:next w:val="a"/>
    <w:link w:val="aa"/>
    <w:qFormat/>
    <w:pPr>
      <w:ind w:leftChars="2500" w:left="100"/>
    </w:pPr>
  </w:style>
  <w:style w:type="paragraph" w:styleId="21">
    <w:name w:val="Body Text Indent 2"/>
    <w:basedOn w:val="a"/>
    <w:link w:val="22"/>
    <w:qFormat/>
    <w:pPr>
      <w:spacing w:after="120" w:line="480" w:lineRule="auto"/>
      <w:ind w:leftChars="200" w:left="420"/>
    </w:pPr>
  </w:style>
  <w:style w:type="paragraph" w:styleId="ab">
    <w:name w:val="footer"/>
    <w:basedOn w:val="a"/>
    <w:link w:val="ac"/>
    <w:uiPriority w:val="99"/>
    <w:semiHidden/>
    <w:unhideWhenUsed/>
    <w:qFormat/>
    <w:pPr>
      <w:tabs>
        <w:tab w:val="center" w:pos="4153"/>
        <w:tab w:val="right" w:pos="8306"/>
      </w:tabs>
      <w:snapToGrid w:val="0"/>
      <w:jc w:val="left"/>
    </w:pPr>
    <w:rPr>
      <w:sz w:val="18"/>
      <w:szCs w:val="18"/>
    </w:rPr>
  </w:style>
  <w:style w:type="paragraph" w:styleId="ad">
    <w:name w:val="header"/>
    <w:basedOn w:val="a"/>
    <w:link w:val="a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qFormat/>
    <w:pPr>
      <w:snapToGrid w:val="0"/>
      <w:jc w:val="left"/>
    </w:pPr>
    <w:rPr>
      <w:rFonts w:asciiTheme="minorHAnsi" w:eastAsiaTheme="minorEastAsia" w:hAnsiTheme="minorHAnsi" w:cstheme="minorBidi"/>
      <w:sz w:val="18"/>
      <w:szCs w:val="18"/>
    </w:rPr>
  </w:style>
  <w:style w:type="paragraph" w:styleId="3">
    <w:name w:val="Body Text Indent 3"/>
    <w:basedOn w:val="a"/>
    <w:link w:val="30"/>
    <w:qFormat/>
    <w:pPr>
      <w:ind w:firstLine="540"/>
    </w:pPr>
    <w:rPr>
      <w:sz w:val="24"/>
    </w:rPr>
  </w:style>
  <w:style w:type="paragraph" w:styleId="af1">
    <w:name w:val="Title"/>
    <w:basedOn w:val="a"/>
    <w:next w:val="a"/>
    <w:link w:val="af2"/>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20">
    <w:name w:val="标题 2 字符"/>
    <w:basedOn w:val="a0"/>
    <w:link w:val="2"/>
    <w:qFormat/>
    <w:rPr>
      <w:rFonts w:ascii="Arial" w:eastAsia="黑体" w:hAnsi="Arial" w:cs="Times New Roman"/>
      <w:b/>
      <w:bCs/>
      <w:kern w:val="0"/>
      <w:sz w:val="32"/>
      <w:szCs w:val="32"/>
    </w:rPr>
  </w:style>
  <w:style w:type="character" w:customStyle="1" w:styleId="a6">
    <w:name w:val="正文文本缩进 字符"/>
    <w:link w:val="a5"/>
    <w:qFormat/>
    <w:rPr>
      <w:rFonts w:ascii="Times New Roman" w:eastAsia="宋体" w:hAnsi="Times New Roman" w:cs="Times New Roman"/>
      <w:szCs w:val="24"/>
    </w:rPr>
  </w:style>
  <w:style w:type="character" w:customStyle="1" w:styleId="22">
    <w:name w:val="正文文本缩进 2 字符"/>
    <w:link w:val="21"/>
    <w:qFormat/>
    <w:rPr>
      <w:rFonts w:ascii="Times New Roman" w:eastAsia="宋体" w:hAnsi="Times New Roman" w:cs="Times New Roman"/>
      <w:szCs w:val="24"/>
    </w:rPr>
  </w:style>
  <w:style w:type="character" w:customStyle="1" w:styleId="aa">
    <w:name w:val="日期 字符"/>
    <w:link w:val="a9"/>
    <w:qFormat/>
    <w:rPr>
      <w:rFonts w:ascii="Times New Roman" w:eastAsia="宋体" w:hAnsi="Times New Roman" w:cs="Times New Roman"/>
      <w:szCs w:val="24"/>
    </w:rPr>
  </w:style>
  <w:style w:type="character" w:customStyle="1" w:styleId="30">
    <w:name w:val="正文文本缩进 3 字符"/>
    <w:link w:val="3"/>
    <w:qFormat/>
    <w:rPr>
      <w:rFonts w:ascii="Times New Roman" w:eastAsia="宋体" w:hAnsi="Times New Roman" w:cs="Times New Roman"/>
      <w:sz w:val="24"/>
      <w:szCs w:val="24"/>
    </w:rPr>
  </w:style>
  <w:style w:type="character" w:customStyle="1" w:styleId="af0">
    <w:name w:val="脚注文本 字符"/>
    <w:link w:val="af"/>
    <w:qFormat/>
    <w:rPr>
      <w:sz w:val="18"/>
      <w:szCs w:val="18"/>
    </w:rPr>
  </w:style>
  <w:style w:type="character" w:customStyle="1" w:styleId="a4">
    <w:name w:val="正文缩进 字符"/>
    <w:link w:val="a3"/>
    <w:qFormat/>
    <w:rPr>
      <w:rFonts w:ascii="仿宋_GB2312" w:eastAsia="仿宋_GB2312" w:hAnsi="Times New Roman" w:cs="Times New Roman"/>
      <w:sz w:val="28"/>
      <w:szCs w:val="20"/>
    </w:rPr>
  </w:style>
  <w:style w:type="character" w:customStyle="1" w:styleId="a8">
    <w:name w:val="纯文本 字符"/>
    <w:link w:val="a7"/>
    <w:qFormat/>
    <w:rPr>
      <w:rFonts w:ascii="宋体" w:hAnsi="Courier New"/>
    </w:rPr>
  </w:style>
  <w:style w:type="character" w:customStyle="1" w:styleId="3Char1">
    <w:name w:val="正文文本缩进 3 Char1"/>
    <w:basedOn w:val="a0"/>
    <w:uiPriority w:val="99"/>
    <w:semiHidden/>
    <w:qFormat/>
    <w:rPr>
      <w:rFonts w:ascii="Times New Roman" w:eastAsia="宋体" w:hAnsi="Times New Roman" w:cs="Times New Roman"/>
      <w:sz w:val="16"/>
      <w:szCs w:val="16"/>
    </w:rPr>
  </w:style>
  <w:style w:type="character" w:customStyle="1" w:styleId="Char1">
    <w:name w:val="日期 Char1"/>
    <w:basedOn w:val="a0"/>
    <w:uiPriority w:val="99"/>
    <w:semiHidden/>
    <w:qFormat/>
    <w:rPr>
      <w:rFonts w:ascii="Times New Roman" w:eastAsia="宋体" w:hAnsi="Times New Roman" w:cs="Times New Roman"/>
      <w:szCs w:val="24"/>
    </w:rPr>
  </w:style>
  <w:style w:type="character" w:customStyle="1" w:styleId="Char10">
    <w:name w:val="正文文本缩进 Char1"/>
    <w:basedOn w:val="a0"/>
    <w:uiPriority w:val="99"/>
    <w:semiHidden/>
    <w:qFormat/>
    <w:rPr>
      <w:rFonts w:ascii="Times New Roman" w:eastAsia="宋体" w:hAnsi="Times New Roman" w:cs="Times New Roman"/>
      <w:szCs w:val="24"/>
    </w:rPr>
  </w:style>
  <w:style w:type="character" w:customStyle="1" w:styleId="2Char1">
    <w:name w:val="正文文本缩进 2 Char1"/>
    <w:basedOn w:val="a0"/>
    <w:uiPriority w:val="99"/>
    <w:semiHidden/>
    <w:qFormat/>
    <w:rPr>
      <w:rFonts w:ascii="Times New Roman" w:eastAsia="宋体" w:hAnsi="Times New Roman" w:cs="Times New Roman"/>
      <w:szCs w:val="24"/>
    </w:rPr>
  </w:style>
  <w:style w:type="character" w:customStyle="1" w:styleId="Char11">
    <w:name w:val="脚注文本 Char1"/>
    <w:basedOn w:val="a0"/>
    <w:uiPriority w:val="99"/>
    <w:semiHidden/>
    <w:qFormat/>
    <w:rPr>
      <w:rFonts w:ascii="Times New Roman" w:eastAsia="宋体" w:hAnsi="Times New Roman" w:cs="Times New Roman"/>
      <w:sz w:val="18"/>
      <w:szCs w:val="18"/>
    </w:rPr>
  </w:style>
  <w:style w:type="character" w:customStyle="1" w:styleId="Char12">
    <w:name w:val="纯文本 Char1"/>
    <w:basedOn w:val="a0"/>
    <w:uiPriority w:val="99"/>
    <w:semiHidden/>
    <w:qFormat/>
    <w:rPr>
      <w:rFonts w:ascii="宋体" w:eastAsia="宋体" w:hAnsi="Courier New" w:cs="Courier New"/>
      <w:szCs w:val="21"/>
    </w:rPr>
  </w:style>
  <w:style w:type="paragraph" w:customStyle="1" w:styleId="af3">
    <w:name w:val="表格"/>
    <w:basedOn w:val="a"/>
    <w:qFormat/>
    <w:pPr>
      <w:jc w:val="center"/>
    </w:pPr>
    <w:rPr>
      <w:rFonts w:eastAsia="仿宋_GB2312"/>
      <w:szCs w:val="20"/>
    </w:rPr>
  </w:style>
  <w:style w:type="paragraph" w:customStyle="1" w:styleId="Normaltext">
    <w:name w:val="Normaltext"/>
    <w:basedOn w:val="a"/>
    <w:qFormat/>
    <w:pPr>
      <w:widowControl/>
      <w:tabs>
        <w:tab w:val="left" w:pos="720"/>
      </w:tabs>
      <w:spacing w:line="360" w:lineRule="auto"/>
      <w:ind w:rightChars="100" w:right="210" w:firstLineChars="162" w:firstLine="358"/>
      <w:jc w:val="left"/>
    </w:pPr>
    <w:rPr>
      <w:rFonts w:ascii="Arial" w:hAnsi="Arial"/>
      <w:b/>
      <w:snapToGrid w:val="0"/>
      <w:kern w:val="0"/>
      <w:sz w:val="22"/>
      <w:szCs w:val="20"/>
      <w:lang w:val="en-GB"/>
    </w:rPr>
  </w:style>
  <w:style w:type="character" w:customStyle="1" w:styleId="ac">
    <w:name w:val="页脚 字符"/>
    <w:basedOn w:val="a0"/>
    <w:link w:val="ab"/>
    <w:uiPriority w:val="99"/>
    <w:semiHidden/>
    <w:qFormat/>
    <w:rPr>
      <w:rFonts w:ascii="Times New Roman" w:eastAsia="宋体" w:hAnsi="Times New Roman" w:cs="Times New Roman"/>
      <w:sz w:val="18"/>
      <w:szCs w:val="18"/>
    </w:rPr>
  </w:style>
  <w:style w:type="character" w:customStyle="1" w:styleId="Char2">
    <w:name w:val="纯文本 Char2"/>
    <w:link w:val="11"/>
    <w:qFormat/>
    <w:rPr>
      <w:rFonts w:ascii="宋体"/>
    </w:rPr>
  </w:style>
  <w:style w:type="paragraph" w:customStyle="1" w:styleId="11">
    <w:name w:val="纯文本1"/>
    <w:basedOn w:val="a"/>
    <w:link w:val="Char2"/>
    <w:qFormat/>
    <w:rPr>
      <w:rFonts w:ascii="宋体" w:eastAsiaTheme="minorEastAsia" w:hAnsiTheme="minorHAnsi" w:cstheme="minorBidi"/>
      <w:szCs w:val="22"/>
    </w:rPr>
  </w:style>
  <w:style w:type="paragraph" w:customStyle="1" w:styleId="210">
    <w:name w:val="正文首行缩进 21"/>
    <w:basedOn w:val="a"/>
    <w:qFormat/>
    <w:pPr>
      <w:spacing w:line="360" w:lineRule="auto"/>
      <w:ind w:leftChars="200" w:left="200" w:firstLineChars="200" w:firstLine="200"/>
    </w:pPr>
    <w:rPr>
      <w:sz w:val="28"/>
      <w:szCs w:val="20"/>
    </w:rPr>
  </w:style>
  <w:style w:type="paragraph" w:styleId="af4">
    <w:name w:val="List Paragraph"/>
    <w:basedOn w:val="a"/>
    <w:uiPriority w:val="34"/>
    <w:qFormat/>
    <w:pPr>
      <w:ind w:firstLineChars="200" w:firstLine="420"/>
    </w:pPr>
  </w:style>
  <w:style w:type="character" w:customStyle="1" w:styleId="ae">
    <w:name w:val="页眉 字符"/>
    <w:basedOn w:val="a0"/>
    <w:link w:val="ad"/>
    <w:uiPriority w:val="99"/>
    <w:semiHidden/>
    <w:qFormat/>
    <w:rPr>
      <w:rFonts w:ascii="Times New Roman" w:eastAsia="宋体" w:hAnsi="Times New Roman" w:cs="Times New Roman"/>
      <w:sz w:val="18"/>
      <w:szCs w:val="18"/>
    </w:rPr>
  </w:style>
  <w:style w:type="character" w:customStyle="1" w:styleId="Q3Char">
    <w:name w:val="Q3 Char"/>
    <w:link w:val="Q3"/>
    <w:qFormat/>
    <w:rPr>
      <w:rFonts w:ascii="Arial" w:hAnsi="Arial" w:cs="宋体"/>
      <w:b/>
      <w:bCs/>
      <w:kern w:val="32"/>
      <w:sz w:val="24"/>
      <w:szCs w:val="28"/>
      <w:lang w:val="en-AU" w:eastAsia="en-AU"/>
    </w:rPr>
  </w:style>
  <w:style w:type="paragraph" w:customStyle="1" w:styleId="Q3">
    <w:name w:val="Q3"/>
    <w:basedOn w:val="af1"/>
    <w:link w:val="Q3Char"/>
    <w:qFormat/>
    <w:pPr>
      <w:widowControl/>
      <w:numPr>
        <w:ilvl w:val="1"/>
        <w:numId w:val="1"/>
      </w:numPr>
      <w:spacing w:before="0" w:after="0" w:line="360" w:lineRule="auto"/>
      <w:jc w:val="left"/>
      <w:outlineLvl w:val="1"/>
    </w:pPr>
    <w:rPr>
      <w:rFonts w:ascii="Arial" w:eastAsia="宋体" w:hAnsi="Arial" w:cs="宋体"/>
      <w:kern w:val="32"/>
      <w:sz w:val="24"/>
      <w:szCs w:val="28"/>
      <w:lang w:val="en-AU" w:eastAsia="en-AU"/>
    </w:rPr>
  </w:style>
  <w:style w:type="paragraph" w:customStyle="1" w:styleId="Q5">
    <w:name w:val="Q5"/>
    <w:basedOn w:val="a"/>
    <w:qFormat/>
    <w:pPr>
      <w:widowControl/>
      <w:spacing w:line="360" w:lineRule="auto"/>
      <w:ind w:leftChars="236" w:left="566" w:firstLineChars="200" w:firstLine="480"/>
      <w:jc w:val="left"/>
    </w:pPr>
    <w:rPr>
      <w:rFonts w:ascii="宋体" w:hAnsi="宋体"/>
      <w:kern w:val="32"/>
      <w:sz w:val="24"/>
      <w:lang w:val="en-AU"/>
    </w:rPr>
  </w:style>
  <w:style w:type="character" w:customStyle="1" w:styleId="af2">
    <w:name w:val="标题 字符"/>
    <w:basedOn w:val="a0"/>
    <w:link w:val="af1"/>
    <w:uiPriority w:val="10"/>
    <w:rPr>
      <w:rFonts w:asciiTheme="majorHAnsi" w:eastAsiaTheme="majorEastAsia" w:hAnsiTheme="majorHAnsi" w:cstheme="majorBidi"/>
      <w:b/>
      <w:bCs/>
      <w:kern w:val="2"/>
      <w:sz w:val="32"/>
      <w:szCs w:val="32"/>
    </w:rPr>
  </w:style>
  <w:style w:type="character" w:customStyle="1" w:styleId="Q2Char">
    <w:name w:val="Q2 Char"/>
    <w:link w:val="Q2"/>
    <w:qFormat/>
    <w:rPr>
      <w:rFonts w:ascii="Arial" w:hAnsi="Arial"/>
      <w:b/>
      <w:bCs/>
      <w:kern w:val="32"/>
      <w:sz w:val="28"/>
      <w:szCs w:val="32"/>
      <w:lang w:val="en-AU" w:eastAsia="en-AU"/>
    </w:rPr>
  </w:style>
  <w:style w:type="paragraph" w:customStyle="1" w:styleId="Q2">
    <w:name w:val="Q2"/>
    <w:basedOn w:val="af1"/>
    <w:next w:val="Q3"/>
    <w:link w:val="Q2Char"/>
    <w:qFormat/>
    <w:pPr>
      <w:widowControl/>
      <w:numPr>
        <w:numId w:val="1"/>
      </w:numPr>
      <w:spacing w:beforeLines="50" w:afterLines="50"/>
      <w:ind w:left="426" w:hanging="284"/>
      <w:jc w:val="left"/>
    </w:pPr>
    <w:rPr>
      <w:rFonts w:ascii="Arial" w:eastAsia="宋体" w:hAnsi="Arial" w:cs="Times New Roman"/>
      <w:kern w:val="32"/>
      <w:sz w:val="28"/>
      <w:lang w:val="en-AU" w:eastAsia="en-AU"/>
    </w:rPr>
  </w:style>
  <w:style w:type="character" w:customStyle="1" w:styleId="Q4Char">
    <w:name w:val="Q4 Char"/>
    <w:link w:val="Q4"/>
    <w:qFormat/>
    <w:rPr>
      <w:rFonts w:ascii="Arial" w:hAnsi="宋体" w:cs="Arial"/>
      <w:b/>
      <w:bCs/>
      <w:kern w:val="32"/>
      <w:sz w:val="24"/>
      <w:szCs w:val="32"/>
      <w:lang w:val="en-AU" w:eastAsia="en-AU"/>
    </w:rPr>
  </w:style>
  <w:style w:type="paragraph" w:customStyle="1" w:styleId="Q4">
    <w:name w:val="Q4"/>
    <w:basedOn w:val="af1"/>
    <w:link w:val="Q4Char"/>
    <w:qFormat/>
    <w:pPr>
      <w:widowControl/>
      <w:numPr>
        <w:ilvl w:val="2"/>
        <w:numId w:val="1"/>
      </w:numPr>
      <w:spacing w:before="0" w:after="0" w:line="360" w:lineRule="auto"/>
      <w:jc w:val="left"/>
      <w:outlineLvl w:val="2"/>
    </w:pPr>
    <w:rPr>
      <w:rFonts w:ascii="Arial" w:eastAsia="宋体" w:hAnsi="宋体" w:cs="Arial"/>
      <w:kern w:val="32"/>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B8B0E-72A2-4588-9ACF-D3AE80E1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 国东</cp:lastModifiedBy>
  <cp:revision>4</cp:revision>
  <dcterms:created xsi:type="dcterms:W3CDTF">2022-02-18T02:05:00Z</dcterms:created>
  <dcterms:modified xsi:type="dcterms:W3CDTF">2022-02-23T11:57:00Z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35BA9EA8695E4AF7AE44F4EE27E4F274</vt:lpwstr>
  </property>
</Properties>
</file>