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2EA" w:rsidRDefault="004422EA">
      <w:pPr>
        <w:autoSpaceDE w:val="0"/>
        <w:autoSpaceDN w:val="0"/>
        <w:adjustRightInd w:val="0"/>
        <w:spacing w:line="900" w:lineRule="exact"/>
        <w:jc w:val="center"/>
        <w:rPr>
          <w:rFonts w:ascii="宋体" w:eastAsia="宋体" w:cs="宋体"/>
          <w:b/>
          <w:bCs/>
          <w:sz w:val="72"/>
          <w:szCs w:val="72"/>
        </w:rPr>
      </w:pPr>
    </w:p>
    <w:p w:rsidR="004422EA" w:rsidRDefault="004422EA">
      <w:pPr>
        <w:autoSpaceDE w:val="0"/>
        <w:autoSpaceDN w:val="0"/>
        <w:adjustRightInd w:val="0"/>
        <w:spacing w:line="900" w:lineRule="exact"/>
        <w:jc w:val="center"/>
        <w:rPr>
          <w:rFonts w:ascii="宋体" w:eastAsia="宋体" w:cs="宋体"/>
          <w:b/>
          <w:bCs/>
          <w:sz w:val="72"/>
          <w:szCs w:val="72"/>
        </w:rPr>
      </w:pPr>
    </w:p>
    <w:p w:rsidR="001F3CE6" w:rsidRPr="007D3AE5" w:rsidRDefault="00D86C9F">
      <w:pPr>
        <w:autoSpaceDE w:val="0"/>
        <w:autoSpaceDN w:val="0"/>
        <w:adjustRightInd w:val="0"/>
        <w:spacing w:line="900" w:lineRule="exact"/>
        <w:jc w:val="center"/>
        <w:rPr>
          <w:rFonts w:ascii="宋体" w:eastAsia="宋体" w:cs="宋体"/>
          <w:b/>
          <w:bCs/>
          <w:sz w:val="72"/>
          <w:szCs w:val="72"/>
        </w:rPr>
      </w:pPr>
      <w:r w:rsidRPr="007D3AE5">
        <w:rPr>
          <w:rFonts w:ascii="宋体" w:eastAsia="宋体" w:cs="宋体" w:hint="eastAsia"/>
          <w:b/>
          <w:bCs/>
          <w:sz w:val="72"/>
          <w:szCs w:val="72"/>
        </w:rPr>
        <w:t>金隆铜业有限公司</w:t>
      </w:r>
    </w:p>
    <w:p w:rsidR="00F07705" w:rsidRDefault="0071274C">
      <w:pPr>
        <w:autoSpaceDE w:val="0"/>
        <w:autoSpaceDN w:val="0"/>
        <w:adjustRightInd w:val="0"/>
        <w:spacing w:line="900" w:lineRule="exact"/>
        <w:jc w:val="center"/>
        <w:rPr>
          <w:rFonts w:ascii="宋体" w:eastAsia="宋体" w:hAnsi="Calibri" w:cs="宋体"/>
          <w:b/>
          <w:bCs/>
          <w:sz w:val="44"/>
          <w:szCs w:val="44"/>
          <w:lang w:val="zh-CN"/>
        </w:rPr>
      </w:pPr>
      <w:r>
        <w:rPr>
          <w:rFonts w:ascii="宋体" w:eastAsia="宋体" w:cs="宋体" w:hint="eastAsia"/>
          <w:b/>
          <w:bCs/>
          <w:sz w:val="72"/>
          <w:szCs w:val="72"/>
        </w:rPr>
        <w:t>现场控制箱</w:t>
      </w:r>
    </w:p>
    <w:p w:rsidR="00F07705" w:rsidRPr="007D3AE5" w:rsidRDefault="00D86C9F" w:rsidP="007D3AE5">
      <w:pPr>
        <w:autoSpaceDE w:val="0"/>
        <w:autoSpaceDN w:val="0"/>
        <w:adjustRightInd w:val="0"/>
        <w:spacing w:line="900" w:lineRule="exact"/>
        <w:jc w:val="center"/>
        <w:rPr>
          <w:rFonts w:ascii="Calibri" w:eastAsia="宋体" w:hAnsi="Calibri" w:cs="Calibri"/>
          <w:b/>
          <w:bCs/>
          <w:sz w:val="72"/>
          <w:szCs w:val="72"/>
        </w:rPr>
      </w:pPr>
      <w:r w:rsidRPr="007D3AE5">
        <w:rPr>
          <w:rFonts w:ascii="宋体" w:eastAsia="宋体" w:hAnsi="Calibri" w:cs="宋体" w:hint="eastAsia"/>
          <w:b/>
          <w:bCs/>
          <w:sz w:val="72"/>
          <w:szCs w:val="72"/>
          <w:lang w:val="zh-CN"/>
        </w:rPr>
        <w:t>技术</w:t>
      </w:r>
      <w:r w:rsidR="007D3AE5" w:rsidRPr="007D3AE5">
        <w:rPr>
          <w:rFonts w:ascii="宋体" w:eastAsia="宋体" w:hAnsi="Calibri" w:cs="宋体" w:hint="eastAsia"/>
          <w:b/>
          <w:bCs/>
          <w:sz w:val="72"/>
          <w:szCs w:val="72"/>
          <w:lang w:val="zh-CN"/>
        </w:rPr>
        <w:t>协议</w:t>
      </w:r>
    </w:p>
    <w:p w:rsidR="00F07705" w:rsidRDefault="00F07705" w:rsidP="00E63283">
      <w:pPr>
        <w:tabs>
          <w:tab w:val="left" w:pos="2520"/>
        </w:tabs>
        <w:spacing w:beforeLines="50" w:afterLines="50" w:line="360" w:lineRule="auto"/>
        <w:ind w:firstLineChars="400" w:firstLine="1920"/>
        <w:rPr>
          <w:rFonts w:ascii="Calibri" w:eastAsia="黑体" w:hAnsi="Calibri" w:cs="Times New Roman"/>
          <w:sz w:val="48"/>
          <w:szCs w:val="24"/>
        </w:rPr>
      </w:pPr>
    </w:p>
    <w:p w:rsidR="00F07705" w:rsidRDefault="00F07705" w:rsidP="00E63283">
      <w:pPr>
        <w:tabs>
          <w:tab w:val="left" w:pos="2520"/>
        </w:tabs>
        <w:spacing w:beforeLines="50" w:afterLines="50" w:line="360" w:lineRule="auto"/>
        <w:ind w:firstLineChars="400" w:firstLine="1920"/>
        <w:rPr>
          <w:rFonts w:ascii="Calibri" w:eastAsia="黑体" w:hAnsi="Calibri" w:cs="Times New Roman"/>
          <w:sz w:val="48"/>
          <w:szCs w:val="24"/>
        </w:rPr>
      </w:pPr>
    </w:p>
    <w:p w:rsidR="00F07705" w:rsidRPr="00A359CC" w:rsidRDefault="00D86C9F" w:rsidP="00A359CC">
      <w:pPr>
        <w:rPr>
          <w:rFonts w:ascii="Calibri" w:eastAsia="黑体" w:hAnsi="Calibri" w:cs="Times New Roman"/>
          <w:sz w:val="48"/>
          <w:szCs w:val="24"/>
        </w:rPr>
      </w:pPr>
      <w:r>
        <w:rPr>
          <w:rFonts w:ascii="Calibri" w:eastAsia="黑体" w:hAnsi="Calibri" w:cs="Times New Roman" w:hint="eastAsia"/>
          <w:sz w:val="48"/>
          <w:szCs w:val="24"/>
        </w:rPr>
        <w:br w:type="page"/>
      </w:r>
    </w:p>
    <w:p w:rsidR="0071274C" w:rsidRDefault="00217FBE" w:rsidP="0071274C">
      <w:pPr>
        <w:spacing w:line="360" w:lineRule="auto"/>
      </w:pPr>
      <w:r w:rsidRPr="007F7E9F">
        <w:rPr>
          <w:rFonts w:ascii="宋体" w:hAnsi="宋体" w:hint="eastAsia"/>
          <w:kern w:val="0"/>
          <w:szCs w:val="21"/>
        </w:rPr>
        <w:lastRenderedPageBreak/>
        <w:t xml:space="preserve">  </w:t>
      </w:r>
      <w:r w:rsidR="0071274C">
        <w:rPr>
          <w:rFonts w:hint="eastAsia"/>
        </w:rPr>
        <w:t>一、采用的文件规范依据及技术标准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《低压成套开关设备》</w:t>
      </w:r>
      <w:r>
        <w:rPr>
          <w:rFonts w:hint="eastAsia"/>
        </w:rPr>
        <w:t>(GB7251);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《金属涂覆和化学处理》（</w:t>
      </w:r>
      <w:r>
        <w:rPr>
          <w:rFonts w:hint="eastAsia"/>
        </w:rPr>
        <w:t>GB/13911</w:t>
      </w:r>
      <w:r>
        <w:rPr>
          <w:rFonts w:hint="eastAsia"/>
        </w:rPr>
        <w:t>）；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《低压电器基本标准》</w:t>
      </w:r>
      <w:r>
        <w:rPr>
          <w:rFonts w:hint="eastAsia"/>
        </w:rPr>
        <w:t>(GB4025</w:t>
      </w:r>
      <w:r>
        <w:rPr>
          <w:rFonts w:hint="eastAsia"/>
        </w:rPr>
        <w:t>）；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《低压电器基本试验方法》（</w:t>
      </w:r>
      <w:r>
        <w:rPr>
          <w:rFonts w:hint="eastAsia"/>
        </w:rPr>
        <w:t>GB998</w:t>
      </w:r>
      <w:r>
        <w:rPr>
          <w:rFonts w:hint="eastAsia"/>
        </w:rPr>
        <w:t>）</w:t>
      </w:r>
      <w:r>
        <w:rPr>
          <w:rFonts w:hint="eastAsia"/>
        </w:rPr>
        <w:t>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《家用和类似用途的带过电流保护的剩余电流动作断路器》（</w:t>
      </w:r>
      <w:r>
        <w:rPr>
          <w:rFonts w:hint="eastAsia"/>
        </w:rPr>
        <w:t>GB16917</w:t>
      </w:r>
      <w:r>
        <w:rPr>
          <w:rFonts w:hint="eastAsia"/>
        </w:rPr>
        <w:t>）；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《低压熔断器》</w:t>
      </w:r>
      <w:r>
        <w:rPr>
          <w:rFonts w:hint="eastAsia"/>
        </w:rPr>
        <w:t>(GB13539)</w:t>
      </w:r>
      <w:r>
        <w:rPr>
          <w:rFonts w:hint="eastAsia"/>
        </w:rPr>
        <w:t>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《低压断路器》（</w:t>
      </w:r>
      <w:r>
        <w:rPr>
          <w:rFonts w:hint="eastAsia"/>
        </w:rPr>
        <w:t>GB10963-99</w:t>
      </w:r>
      <w:r>
        <w:rPr>
          <w:rFonts w:hint="eastAsia"/>
        </w:rPr>
        <w:t>）；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《建筑电气工程施工质量验收规范》（</w:t>
      </w:r>
      <w:r>
        <w:rPr>
          <w:rFonts w:hint="eastAsia"/>
        </w:rPr>
        <w:t>GB50303</w:t>
      </w:r>
      <w:r>
        <w:rPr>
          <w:rFonts w:hint="eastAsia"/>
        </w:rPr>
        <w:t>－</w:t>
      </w:r>
      <w:r>
        <w:rPr>
          <w:rFonts w:hint="eastAsia"/>
        </w:rPr>
        <w:t>2002</w:t>
      </w:r>
      <w:r>
        <w:rPr>
          <w:rFonts w:hint="eastAsia"/>
        </w:rPr>
        <w:t>）</w:t>
      </w:r>
      <w:r>
        <w:rPr>
          <w:rFonts w:hint="eastAsia"/>
        </w:rPr>
        <w:t>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《低压成套开关设备和控制设备安全技术导则》（</w:t>
      </w:r>
      <w:r>
        <w:rPr>
          <w:rFonts w:hint="eastAsia"/>
        </w:rPr>
        <w:t>JB/T10361-2002);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10</w:t>
      </w:r>
      <w:r>
        <w:rPr>
          <w:rFonts w:hint="eastAsia"/>
        </w:rPr>
        <w:t>《低压固定封闭式低压成套开关设备》</w:t>
      </w:r>
      <w:r>
        <w:rPr>
          <w:rFonts w:hint="eastAsia"/>
        </w:rPr>
        <w:t>(JB/T5877-2002</w:t>
      </w:r>
      <w:r>
        <w:rPr>
          <w:rFonts w:hint="eastAsia"/>
        </w:rPr>
        <w:t>）；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11</w:t>
      </w:r>
      <w:r>
        <w:rPr>
          <w:rFonts w:hint="eastAsia"/>
        </w:rPr>
        <w:t>《低压开关设备和控制设备总则》（</w:t>
      </w:r>
      <w:r>
        <w:rPr>
          <w:rFonts w:hint="eastAsia"/>
        </w:rPr>
        <w:t>GB/T4048.1-2000)</w:t>
      </w:r>
      <w:r>
        <w:rPr>
          <w:rFonts w:hint="eastAsia"/>
        </w:rPr>
        <w:t>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12</w:t>
      </w:r>
      <w:r>
        <w:rPr>
          <w:rFonts w:hint="eastAsia"/>
        </w:rPr>
        <w:t>《低压开关设备和控制设备断路器》</w:t>
      </w:r>
      <w:r>
        <w:rPr>
          <w:rFonts w:hint="eastAsia"/>
        </w:rPr>
        <w:t>(GB/T4048</w:t>
      </w:r>
      <w:r>
        <w:rPr>
          <w:rFonts w:hint="eastAsia"/>
        </w:rPr>
        <w:t>。</w:t>
      </w:r>
      <w:r>
        <w:rPr>
          <w:rFonts w:hint="eastAsia"/>
        </w:rPr>
        <w:t>2</w:t>
      </w:r>
      <w:r>
        <w:rPr>
          <w:rFonts w:hint="eastAsia"/>
        </w:rPr>
        <w:t>—</w:t>
      </w:r>
      <w:r>
        <w:rPr>
          <w:rFonts w:hint="eastAsia"/>
        </w:rPr>
        <w:t>2000)</w:t>
      </w:r>
      <w:r>
        <w:rPr>
          <w:rFonts w:hint="eastAsia"/>
        </w:rPr>
        <w:t>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13</w:t>
      </w:r>
      <w:r>
        <w:rPr>
          <w:rFonts w:hint="eastAsia"/>
        </w:rPr>
        <w:t>《低压开关设备和控制设备开关、隔离器、隔离开关与熔断器组合电器》</w:t>
      </w:r>
      <w:r>
        <w:rPr>
          <w:rFonts w:hint="eastAsia"/>
        </w:rPr>
        <w:t>(GB/T4048.3</w:t>
      </w:r>
      <w:r>
        <w:rPr>
          <w:rFonts w:hint="eastAsia"/>
        </w:rPr>
        <w:t>—</w:t>
      </w:r>
      <w:r>
        <w:rPr>
          <w:rFonts w:hint="eastAsia"/>
        </w:rPr>
        <w:t>2000</w:t>
      </w:r>
      <w:r>
        <w:rPr>
          <w:rFonts w:hint="eastAsia"/>
        </w:rPr>
        <w:t>）；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14</w:t>
      </w:r>
      <w:r>
        <w:rPr>
          <w:rFonts w:hint="eastAsia"/>
        </w:rPr>
        <w:t>《低压开关设备和控制设备</w:t>
      </w:r>
      <w:r>
        <w:rPr>
          <w:rFonts w:hint="eastAsia"/>
        </w:rPr>
        <w:t>-</w:t>
      </w:r>
      <w:r>
        <w:rPr>
          <w:rFonts w:hint="eastAsia"/>
        </w:rPr>
        <w:t>低压机电式接触器和电动机起动器》（</w:t>
      </w:r>
      <w:r>
        <w:rPr>
          <w:rFonts w:hint="eastAsia"/>
        </w:rPr>
        <w:t>GB/T4048.4</w:t>
      </w:r>
      <w:r>
        <w:rPr>
          <w:rFonts w:hint="eastAsia"/>
        </w:rPr>
        <w:t>—</w:t>
      </w:r>
      <w:r>
        <w:rPr>
          <w:rFonts w:hint="eastAsia"/>
        </w:rPr>
        <w:t>2000</w:t>
      </w:r>
      <w:r>
        <w:rPr>
          <w:rFonts w:hint="eastAsia"/>
        </w:rPr>
        <w:t>）</w:t>
      </w:r>
      <w:r>
        <w:rPr>
          <w:rFonts w:hint="eastAsia"/>
        </w:rPr>
        <w:t>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15</w:t>
      </w:r>
      <w:r>
        <w:rPr>
          <w:rFonts w:hint="eastAsia"/>
        </w:rPr>
        <w:t>《低压开关设备和控制设备</w:t>
      </w:r>
      <w:r>
        <w:rPr>
          <w:rFonts w:hint="eastAsia"/>
        </w:rPr>
        <w:t>-</w:t>
      </w:r>
      <w:r>
        <w:rPr>
          <w:rFonts w:hint="eastAsia"/>
        </w:rPr>
        <w:t>控制电路电器和开关元件第一部分机电式控制电路电器》</w:t>
      </w:r>
      <w:r>
        <w:rPr>
          <w:rFonts w:hint="eastAsia"/>
        </w:rPr>
        <w:t>(GB/T4048.5-2000</w:t>
      </w:r>
      <w:r>
        <w:rPr>
          <w:rFonts w:hint="eastAsia"/>
        </w:rPr>
        <w:t>）；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16</w:t>
      </w:r>
      <w:r>
        <w:rPr>
          <w:rFonts w:hint="eastAsia"/>
        </w:rPr>
        <w:t>《固体绝缘材料在潮湿条件下的相对起痕指数和耐痕指数的测定方法》（</w:t>
      </w:r>
      <w:r>
        <w:rPr>
          <w:rFonts w:hint="eastAsia"/>
        </w:rPr>
        <w:t>IEC60112</w:t>
      </w:r>
      <w:r>
        <w:rPr>
          <w:rFonts w:hint="eastAsia"/>
        </w:rPr>
        <w:t>：</w:t>
      </w:r>
      <w:r>
        <w:rPr>
          <w:rFonts w:hint="eastAsia"/>
        </w:rPr>
        <w:t>1979</w:t>
      </w:r>
      <w:r>
        <w:rPr>
          <w:rFonts w:hint="eastAsia"/>
        </w:rPr>
        <w:t>）；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17</w:t>
      </w:r>
      <w:r>
        <w:rPr>
          <w:rFonts w:hint="eastAsia"/>
        </w:rPr>
        <w:t>《机电产品包装通用技术条件》（</w:t>
      </w:r>
      <w:r>
        <w:rPr>
          <w:rFonts w:hint="eastAsia"/>
        </w:rPr>
        <w:t>GB/T1338</w:t>
      </w:r>
      <w:r>
        <w:rPr>
          <w:rFonts w:hint="eastAsia"/>
        </w:rPr>
        <w:t>─</w:t>
      </w:r>
      <w:r>
        <w:rPr>
          <w:rFonts w:hint="eastAsia"/>
        </w:rPr>
        <w:t>92</w:t>
      </w:r>
      <w:r>
        <w:rPr>
          <w:rFonts w:hint="eastAsia"/>
        </w:rPr>
        <w:t>）</w:t>
      </w:r>
      <w:r>
        <w:rPr>
          <w:rFonts w:hint="eastAsia"/>
        </w:rPr>
        <w:t>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18</w:t>
      </w:r>
      <w:r>
        <w:rPr>
          <w:rFonts w:hint="eastAsia"/>
        </w:rPr>
        <w:tab/>
        <w:t>IEC</w:t>
      </w:r>
      <w:r>
        <w:rPr>
          <w:rFonts w:hint="eastAsia"/>
        </w:rPr>
        <w:t>标准及其他相关国家标准；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19</w:t>
      </w:r>
      <w:r>
        <w:rPr>
          <w:rFonts w:hint="eastAsia"/>
        </w:rPr>
        <w:t>铭牌：其内容应符合</w:t>
      </w:r>
      <w:r>
        <w:rPr>
          <w:rFonts w:hint="eastAsia"/>
        </w:rPr>
        <w:t>IEC</w:t>
      </w:r>
      <w:r>
        <w:rPr>
          <w:rFonts w:hint="eastAsia"/>
        </w:rPr>
        <w:t>标准</w:t>
      </w:r>
      <w:r>
        <w:rPr>
          <w:rFonts w:hint="eastAsia"/>
        </w:rPr>
        <w:t>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20</w:t>
      </w:r>
      <w:r>
        <w:rPr>
          <w:rFonts w:hint="eastAsia"/>
        </w:rPr>
        <w:tab/>
        <w:t>CCC</w:t>
      </w:r>
      <w:r>
        <w:rPr>
          <w:rFonts w:hint="eastAsia"/>
        </w:rPr>
        <w:t>强制性认证要求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21</w:t>
      </w:r>
      <w:r>
        <w:rPr>
          <w:rFonts w:hint="eastAsia"/>
        </w:rPr>
        <w:t>当地地区的地方标准等。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二、需求范围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数量：</w:t>
      </w:r>
      <w:r>
        <w:rPr>
          <w:rFonts w:hint="eastAsia"/>
        </w:rPr>
        <w:t>1</w:t>
      </w:r>
      <w:r>
        <w:rPr>
          <w:rFonts w:hint="eastAsia"/>
        </w:rPr>
        <w:t>批（详细见需求表）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21"/>
        <w:gridCol w:w="929"/>
        <w:gridCol w:w="944"/>
        <w:gridCol w:w="4728"/>
      </w:tblGrid>
      <w:tr w:rsidR="0071274C" w:rsidTr="00293151">
        <w:tc>
          <w:tcPr>
            <w:tcW w:w="1921" w:type="dxa"/>
          </w:tcPr>
          <w:p w:rsidR="0071274C" w:rsidRPr="003C6093" w:rsidRDefault="0071274C" w:rsidP="00293151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929" w:type="dxa"/>
          </w:tcPr>
          <w:p w:rsidR="0071274C" w:rsidRDefault="0071274C" w:rsidP="00293151">
            <w:pPr>
              <w:spacing w:line="360" w:lineRule="auto"/>
            </w:pPr>
            <w:r>
              <w:t>数量</w:t>
            </w:r>
          </w:p>
        </w:tc>
        <w:tc>
          <w:tcPr>
            <w:tcW w:w="944" w:type="dxa"/>
          </w:tcPr>
          <w:p w:rsidR="0071274C" w:rsidRDefault="0071274C" w:rsidP="00293151">
            <w:pPr>
              <w:spacing w:line="360" w:lineRule="auto"/>
            </w:pPr>
            <w:r>
              <w:t>单位</w:t>
            </w:r>
          </w:p>
        </w:tc>
        <w:tc>
          <w:tcPr>
            <w:tcW w:w="4728" w:type="dxa"/>
          </w:tcPr>
          <w:p w:rsidR="0071274C" w:rsidRDefault="0071274C" w:rsidP="00293151">
            <w:pPr>
              <w:spacing w:line="360" w:lineRule="auto"/>
            </w:pPr>
            <w:r>
              <w:t>尺寸规格</w:t>
            </w:r>
          </w:p>
        </w:tc>
      </w:tr>
      <w:tr w:rsidR="0071274C" w:rsidTr="00293151">
        <w:tc>
          <w:tcPr>
            <w:tcW w:w="1921" w:type="dxa"/>
          </w:tcPr>
          <w:p w:rsidR="0071274C" w:rsidRDefault="0071274C" w:rsidP="00293151">
            <w:pPr>
              <w:spacing w:line="360" w:lineRule="auto"/>
            </w:pPr>
            <w:r>
              <w:rPr>
                <w:rFonts w:hint="eastAsia"/>
              </w:rPr>
              <w:t>现场控制箱</w:t>
            </w:r>
          </w:p>
        </w:tc>
        <w:tc>
          <w:tcPr>
            <w:tcW w:w="929" w:type="dxa"/>
          </w:tcPr>
          <w:p w:rsidR="0071274C" w:rsidRDefault="0071274C" w:rsidP="00293151"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44" w:type="dxa"/>
          </w:tcPr>
          <w:p w:rsidR="0071274C" w:rsidRDefault="0071274C" w:rsidP="00293151">
            <w:pPr>
              <w:spacing w:line="360" w:lineRule="auto"/>
            </w:pPr>
            <w:r>
              <w:t>台</w:t>
            </w:r>
          </w:p>
        </w:tc>
        <w:tc>
          <w:tcPr>
            <w:tcW w:w="4728" w:type="dxa"/>
          </w:tcPr>
          <w:p w:rsidR="0071274C" w:rsidRDefault="0071274C" w:rsidP="00293151">
            <w:pPr>
              <w:spacing w:line="360" w:lineRule="auto"/>
            </w:pPr>
            <w:r>
              <w:t>详见图纸</w:t>
            </w:r>
            <w:r>
              <w:rPr>
                <w:rFonts w:hint="eastAsia"/>
              </w:rPr>
              <w:t>一</w:t>
            </w:r>
          </w:p>
        </w:tc>
      </w:tr>
      <w:tr w:rsidR="0071274C" w:rsidTr="00293151">
        <w:tc>
          <w:tcPr>
            <w:tcW w:w="1921" w:type="dxa"/>
          </w:tcPr>
          <w:p w:rsidR="0071274C" w:rsidRDefault="0071274C" w:rsidP="00293151">
            <w:pPr>
              <w:spacing w:line="360" w:lineRule="auto"/>
            </w:pPr>
            <w:r>
              <w:rPr>
                <w:rFonts w:hint="eastAsia"/>
              </w:rPr>
              <w:t>现场电表箱</w:t>
            </w:r>
          </w:p>
        </w:tc>
        <w:tc>
          <w:tcPr>
            <w:tcW w:w="929" w:type="dxa"/>
          </w:tcPr>
          <w:p w:rsidR="0071274C" w:rsidRDefault="0071274C" w:rsidP="00293151">
            <w:pPr>
              <w:spacing w:line="36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944" w:type="dxa"/>
          </w:tcPr>
          <w:p w:rsidR="0071274C" w:rsidRDefault="0071274C" w:rsidP="00293151">
            <w:pPr>
              <w:spacing w:line="360" w:lineRule="auto"/>
            </w:pPr>
            <w:r>
              <w:t>台</w:t>
            </w:r>
          </w:p>
        </w:tc>
        <w:tc>
          <w:tcPr>
            <w:tcW w:w="4728" w:type="dxa"/>
          </w:tcPr>
          <w:p w:rsidR="0071274C" w:rsidRDefault="0071274C" w:rsidP="00293151">
            <w:pPr>
              <w:spacing w:line="360" w:lineRule="auto"/>
            </w:pPr>
            <w:r>
              <w:t>详见图纸</w:t>
            </w:r>
            <w:r>
              <w:rPr>
                <w:rFonts w:hint="eastAsia"/>
              </w:rPr>
              <w:t>二</w:t>
            </w:r>
          </w:p>
        </w:tc>
      </w:tr>
    </w:tbl>
    <w:p w:rsidR="0071274C" w:rsidRDefault="0071274C" w:rsidP="0071274C">
      <w:pPr>
        <w:spacing w:line="360" w:lineRule="auto"/>
      </w:pPr>
      <w:r>
        <w:rPr>
          <w:rFonts w:hint="eastAsia"/>
        </w:rPr>
        <w:lastRenderedPageBreak/>
        <w:t>三、质量要求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质量等级为合格级，除符合国家现行有效的规范要求外，还需满足以下质量要求。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、制造商须获得国家认证的生产许可证。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、制造商须获得</w:t>
      </w:r>
      <w:r>
        <w:rPr>
          <w:rFonts w:hint="eastAsia"/>
        </w:rPr>
        <w:t>ISO9000</w:t>
      </w:r>
      <w:r>
        <w:rPr>
          <w:rFonts w:hint="eastAsia"/>
        </w:rPr>
        <w:t>系列质量和管理资格认证或同等资格认证。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四、技术要求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环境工作条件：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、亚热带海洋性气候</w:t>
      </w:r>
      <w:r>
        <w:rPr>
          <w:rFonts w:hint="eastAsia"/>
        </w:rPr>
        <w:t>,</w:t>
      </w:r>
      <w:r>
        <w:rPr>
          <w:rFonts w:hint="eastAsia"/>
        </w:rPr>
        <w:t>轻度盐雾腐蚀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、环境温度</w:t>
      </w:r>
      <w:r>
        <w:rPr>
          <w:rFonts w:hint="eastAsia"/>
        </w:rPr>
        <w:t>0</w:t>
      </w:r>
      <w:r>
        <w:rPr>
          <w:rFonts w:hint="eastAsia"/>
        </w:rPr>
        <w:t>℃～</w:t>
      </w:r>
      <w:r>
        <w:rPr>
          <w:rFonts w:hint="eastAsia"/>
        </w:rPr>
        <w:t>+40</w:t>
      </w:r>
      <w:r>
        <w:rPr>
          <w:rFonts w:hint="eastAsia"/>
        </w:rPr>
        <w:t>℃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、环境相对湿度</w:t>
      </w:r>
      <w:r>
        <w:rPr>
          <w:rFonts w:hint="eastAsia"/>
        </w:rPr>
        <w:t>30</w:t>
      </w:r>
      <w:r>
        <w:rPr>
          <w:rFonts w:hint="eastAsia"/>
        </w:rPr>
        <w:t>％</w:t>
      </w:r>
      <w:r>
        <w:rPr>
          <w:rFonts w:hint="eastAsia"/>
        </w:rPr>
        <w:t>~90</w:t>
      </w:r>
      <w:r>
        <w:rPr>
          <w:rFonts w:hint="eastAsia"/>
        </w:rPr>
        <w:t>％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、地震烈度：</w:t>
      </w:r>
      <w:r>
        <w:rPr>
          <w:rFonts w:hint="eastAsia"/>
        </w:rPr>
        <w:t>7</w:t>
      </w:r>
      <w:r>
        <w:rPr>
          <w:rFonts w:hint="eastAsia"/>
        </w:rPr>
        <w:t>级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、工作环境</w:t>
      </w:r>
      <w:r>
        <w:rPr>
          <w:rFonts w:hint="eastAsia"/>
        </w:rPr>
        <w:t>:24</w:t>
      </w:r>
      <w:r>
        <w:rPr>
          <w:rFonts w:hint="eastAsia"/>
        </w:rPr>
        <w:t>小时连续运行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产品设备要求：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配电箱</w:t>
      </w:r>
    </w:p>
    <w:p w:rsidR="0071274C" w:rsidRPr="00146268" w:rsidRDefault="0071274C" w:rsidP="0071274C">
      <w:pPr>
        <w:spacing w:line="360" w:lineRule="auto"/>
      </w:pPr>
      <w:r>
        <w:rPr>
          <w:rFonts w:hint="eastAsia"/>
        </w:rPr>
        <w:t>1.1</w:t>
      </w:r>
      <w:r>
        <w:rPr>
          <w:rFonts w:hint="eastAsia"/>
        </w:rPr>
        <w:t>现场控制箱、现场电表箱符合</w:t>
      </w:r>
      <w:r>
        <w:rPr>
          <w:rFonts w:hint="eastAsia"/>
        </w:rPr>
        <w:t>IEC439</w:t>
      </w:r>
      <w:r w:rsidR="00917014">
        <w:rPr>
          <w:rFonts w:hint="eastAsia"/>
        </w:rPr>
        <w:t>.</w:t>
      </w:r>
      <w:r>
        <w:rPr>
          <w:rFonts w:hint="eastAsia"/>
        </w:rPr>
        <w:t>1</w:t>
      </w:r>
      <w:r>
        <w:rPr>
          <w:rFonts w:hint="eastAsia"/>
        </w:rPr>
        <w:t>《低压成套开关设备和控制设备》及</w:t>
      </w:r>
      <w:r>
        <w:rPr>
          <w:rFonts w:hint="eastAsia"/>
        </w:rPr>
        <w:t>GB7251.1</w:t>
      </w:r>
      <w:r>
        <w:rPr>
          <w:rFonts w:hint="eastAsia"/>
        </w:rPr>
        <w:t>《低压成套开关设备》国家标准；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1.2</w:t>
      </w:r>
      <w:r>
        <w:rPr>
          <w:rFonts w:hint="eastAsia"/>
        </w:rPr>
        <w:t>本批控制箱用于系统电压低于</w:t>
      </w:r>
      <w:r>
        <w:rPr>
          <w:rFonts w:hint="eastAsia"/>
        </w:rPr>
        <w:t>1kV</w:t>
      </w:r>
      <w:r>
        <w:rPr>
          <w:rFonts w:hint="eastAsia"/>
        </w:rPr>
        <w:t>并应按</w:t>
      </w:r>
      <w:r>
        <w:rPr>
          <w:rFonts w:hint="eastAsia"/>
        </w:rPr>
        <w:t>IEC439</w:t>
      </w:r>
      <w:r>
        <w:rPr>
          <w:rFonts w:hint="eastAsia"/>
        </w:rPr>
        <w:t>要求进行设计，用于厂内各单体设备的远程操作、照明供电及插座电源。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安装方式：箱体应为落地支架安装，应提供安装所需的所有支架附件和安装设计。</w:t>
      </w:r>
    </w:p>
    <w:p w:rsidR="0071274C" w:rsidRPr="00500A63" w:rsidRDefault="0071274C" w:rsidP="0071274C">
      <w:pPr>
        <w:spacing w:line="360" w:lineRule="auto"/>
      </w:pPr>
      <w:r>
        <w:rPr>
          <w:rFonts w:hint="eastAsia"/>
        </w:rPr>
        <w:t>箱体外部美观，操作方便；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箱内电器元件的技术参数按设计图纸要求选择；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箱内元器件应采用模块化设计，导轨安装方式，方便安装拆卸。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标准配电箱适用于额定工作电压为交流</w:t>
      </w:r>
      <w:r>
        <w:rPr>
          <w:rFonts w:hint="eastAsia"/>
        </w:rPr>
        <w:t>380V</w:t>
      </w:r>
      <w:r>
        <w:rPr>
          <w:rFonts w:hint="eastAsia"/>
        </w:rPr>
        <w:t>，频率为</w:t>
      </w:r>
      <w:r>
        <w:rPr>
          <w:rFonts w:hint="eastAsia"/>
        </w:rPr>
        <w:t>50Hz</w:t>
      </w:r>
      <w:r>
        <w:rPr>
          <w:rFonts w:hint="eastAsia"/>
        </w:rPr>
        <w:t>，且具有操作简便、安全可靠、防尘、防污等特点。箱体全绝缘，</w:t>
      </w:r>
      <w:r>
        <w:rPr>
          <w:rFonts w:hint="eastAsia"/>
        </w:rPr>
        <w:t>II</w:t>
      </w:r>
      <w:r>
        <w:rPr>
          <w:rFonts w:hint="eastAsia"/>
        </w:rPr>
        <w:t>类防护，即塑料壳体带“回”标记设备（防尘防水）的防护等级为</w:t>
      </w:r>
      <w:r>
        <w:rPr>
          <w:rFonts w:hint="eastAsia"/>
        </w:rPr>
        <w:t>IP65</w:t>
      </w:r>
      <w:r>
        <w:rPr>
          <w:rFonts w:hint="eastAsia"/>
        </w:rPr>
        <w:t>以上高品质聚碳酸酯</w:t>
      </w:r>
      <w:r>
        <w:rPr>
          <w:rFonts w:hint="eastAsia"/>
        </w:rPr>
        <w:t>(PC)</w:t>
      </w:r>
      <w:r>
        <w:rPr>
          <w:rFonts w:hint="eastAsia"/>
        </w:rPr>
        <w:t>材料，不含卤素、硅素，符合</w:t>
      </w:r>
      <w:r>
        <w:rPr>
          <w:rFonts w:hint="eastAsia"/>
        </w:rPr>
        <w:t>RoHS</w:t>
      </w:r>
      <w:r>
        <w:rPr>
          <w:rFonts w:hint="eastAsia"/>
        </w:rPr>
        <w:t>合格通过</w:t>
      </w:r>
      <w:r>
        <w:rPr>
          <w:rFonts w:hint="eastAsia"/>
        </w:rPr>
        <w:t>960</w:t>
      </w:r>
      <w:r>
        <w:rPr>
          <w:rFonts w:hint="eastAsia"/>
        </w:rPr>
        <w:t>℃灼热丝测试，阻燃、自熄（符合</w:t>
      </w:r>
      <w:r>
        <w:rPr>
          <w:rFonts w:hint="eastAsia"/>
        </w:rPr>
        <w:t>IEC 60695-2-11</w:t>
      </w:r>
      <w:r>
        <w:rPr>
          <w:rFonts w:hint="eastAsia"/>
        </w:rPr>
        <w:t>条款）耐紫外线老化，塑料箱体通过耐紫外线老化测试</w:t>
      </w:r>
      <w:r>
        <w:rPr>
          <w:rFonts w:hint="eastAsia"/>
        </w:rPr>
        <w:t>(</w:t>
      </w:r>
      <w:r>
        <w:rPr>
          <w:rFonts w:hint="eastAsia"/>
        </w:rPr>
        <w:t>符合</w:t>
      </w:r>
      <w:r>
        <w:rPr>
          <w:rFonts w:hint="eastAsia"/>
        </w:rPr>
        <w:t>IEC 61439-1/</w:t>
      </w:r>
      <w:r>
        <w:rPr>
          <w:rFonts w:hint="eastAsia"/>
        </w:rPr>
        <w:t>第</w:t>
      </w:r>
      <w:r>
        <w:rPr>
          <w:rFonts w:hint="eastAsia"/>
        </w:rPr>
        <w:t>10.2.4</w:t>
      </w:r>
      <w:r>
        <w:rPr>
          <w:rFonts w:hint="eastAsia"/>
        </w:rPr>
        <w:t>条款</w:t>
      </w:r>
      <w:r>
        <w:rPr>
          <w:rFonts w:hint="eastAsia"/>
        </w:rPr>
        <w:t>)</w:t>
      </w:r>
      <w:r>
        <w:rPr>
          <w:rFonts w:hint="eastAsia"/>
        </w:rPr>
        <w:t>的电气设备功能需求，箱盖可自由搭配选择为不透明或透明的样式，不透明时箱体整体颜色为</w:t>
      </w:r>
      <w:r>
        <w:rPr>
          <w:rFonts w:hint="eastAsia"/>
        </w:rPr>
        <w:t>RAL7035</w:t>
      </w:r>
      <w:r>
        <w:rPr>
          <w:rFonts w:hint="eastAsia"/>
        </w:rPr>
        <w:t>。箱体采用汉森电气（</w:t>
      </w:r>
      <w:r>
        <w:rPr>
          <w:rFonts w:hint="eastAsia"/>
        </w:rPr>
        <w:t>Hensel</w:t>
      </w:r>
      <w:r>
        <w:rPr>
          <w:rFonts w:hint="eastAsia"/>
        </w:rPr>
        <w:t>）</w:t>
      </w:r>
      <w:r>
        <w:rPr>
          <w:rFonts w:hint="eastAsia"/>
        </w:rPr>
        <w:t>Mi</w:t>
      </w:r>
      <w:r>
        <w:rPr>
          <w:rFonts w:hint="eastAsia"/>
        </w:rPr>
        <w:t>系列品牌。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所有电箱均采用同一接线形式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1.3</w:t>
      </w:r>
      <w:r>
        <w:rPr>
          <w:rFonts w:hint="eastAsia"/>
        </w:rPr>
        <w:t>、箱内配线要求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lastRenderedPageBreak/>
        <w:t>a</w:t>
      </w:r>
      <w:r>
        <w:rPr>
          <w:rFonts w:hint="eastAsia"/>
        </w:rPr>
        <w:t>、配电箱上的电器、仪表等应符合电具、仪表排列间距要求</w:t>
      </w:r>
      <w:r>
        <w:rPr>
          <w:rFonts w:hint="eastAsia"/>
        </w:rPr>
        <w:t>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b</w:t>
      </w:r>
      <w:r>
        <w:rPr>
          <w:rFonts w:hint="eastAsia"/>
        </w:rPr>
        <w:t>、全部紧固件均应采用镀锌件；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c</w:t>
      </w:r>
      <w:r>
        <w:rPr>
          <w:rFonts w:hint="eastAsia"/>
        </w:rPr>
        <w:t>、全部配线不得小于开关出线，应符合规范要求；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d</w:t>
      </w:r>
      <w:r>
        <w:rPr>
          <w:rFonts w:hint="eastAsia"/>
        </w:rPr>
        <w:t>、接线端子应与导线截面匹配；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e</w:t>
      </w:r>
      <w:r>
        <w:rPr>
          <w:rFonts w:hint="eastAsia"/>
        </w:rPr>
        <w:t>、盘内有接地要求的电器、盘面，其外壳应可靠接地</w:t>
      </w:r>
      <w:r>
        <w:rPr>
          <w:rFonts w:hint="eastAsia"/>
        </w:rPr>
        <w:t>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f</w:t>
      </w:r>
      <w:r>
        <w:rPr>
          <w:rFonts w:hint="eastAsia"/>
        </w:rPr>
        <w:t>、连接可动部位的导线做法，应符合规范要求；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g</w:t>
      </w:r>
      <w:r>
        <w:rPr>
          <w:rFonts w:hint="eastAsia"/>
        </w:rPr>
        <w:t>、配线整齐、清晰，导线绝缘良好</w:t>
      </w:r>
      <w:r>
        <w:rPr>
          <w:rFonts w:hint="eastAsia"/>
        </w:rPr>
        <w:t>,</w:t>
      </w:r>
      <w:r>
        <w:rPr>
          <w:rFonts w:hint="eastAsia"/>
        </w:rPr>
        <w:t>所有接线应打回型弯接入；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h</w:t>
      </w:r>
      <w:r>
        <w:rPr>
          <w:rFonts w:hint="eastAsia"/>
        </w:rPr>
        <w:t>、配电箱箱内分别设</w:t>
      </w:r>
      <w:r>
        <w:rPr>
          <w:rFonts w:hint="eastAsia"/>
        </w:rPr>
        <w:t>PE</w:t>
      </w:r>
      <w:r>
        <w:rPr>
          <w:rFonts w:hint="eastAsia"/>
        </w:rPr>
        <w:t>、</w:t>
      </w:r>
      <w:r>
        <w:rPr>
          <w:rFonts w:hint="eastAsia"/>
        </w:rPr>
        <w:t xml:space="preserve">N </w:t>
      </w:r>
      <w:r>
        <w:rPr>
          <w:rFonts w:hint="eastAsia"/>
        </w:rPr>
        <w:t>汇流排；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i</w:t>
      </w:r>
      <w:r>
        <w:rPr>
          <w:rFonts w:hint="eastAsia"/>
        </w:rPr>
        <w:t>、提供所有用户配电箱需配置的各类安装材料及附件包括：微型断路器、小母线、接线端子排等材料</w:t>
      </w:r>
      <w:r>
        <w:rPr>
          <w:rFonts w:hint="eastAsia"/>
        </w:rPr>
        <w:t>;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j</w:t>
      </w:r>
      <w:r>
        <w:rPr>
          <w:rFonts w:hint="eastAsia"/>
        </w:rPr>
        <w:t>、配电箱内一次线按过负荷保护要求选择母线</w:t>
      </w:r>
      <w:r>
        <w:rPr>
          <w:rFonts w:hint="eastAsia"/>
        </w:rPr>
        <w:t>,</w:t>
      </w:r>
      <w:r>
        <w:rPr>
          <w:rFonts w:hint="eastAsia"/>
        </w:rPr>
        <w:t>铜母线含铜量不小于</w:t>
      </w:r>
      <w:r>
        <w:rPr>
          <w:rFonts w:hint="eastAsia"/>
        </w:rPr>
        <w:t>99.9%</w:t>
      </w:r>
      <w:r>
        <w:rPr>
          <w:rFonts w:hint="eastAsia"/>
        </w:rPr>
        <w:t>；</w:t>
      </w:r>
    </w:p>
    <w:p w:rsidR="0071274C" w:rsidRDefault="0071274C" w:rsidP="0071274C">
      <w:pPr>
        <w:spacing w:line="360" w:lineRule="auto"/>
      </w:pPr>
      <w:r>
        <w:rPr>
          <w:rFonts w:hint="eastAsia"/>
        </w:rPr>
        <w:t>k</w:t>
      </w:r>
      <w:r>
        <w:rPr>
          <w:rFonts w:hint="eastAsia"/>
        </w:rPr>
        <w:t>、配电箱二次线选用不小于</w:t>
      </w:r>
      <w:r>
        <w:rPr>
          <w:rFonts w:hint="eastAsia"/>
        </w:rPr>
        <w:t>2.5mm2</w:t>
      </w:r>
      <w:r>
        <w:rPr>
          <w:rFonts w:hint="eastAsia"/>
        </w:rPr>
        <w:t>的铜芯塑料线。</w:t>
      </w:r>
    </w:p>
    <w:p w:rsidR="0071274C" w:rsidRDefault="0071274C" w:rsidP="0071274C">
      <w:pPr>
        <w:spacing w:line="360" w:lineRule="auto"/>
      </w:pPr>
    </w:p>
    <w:p w:rsidR="0071274C" w:rsidRPr="008D09B1" w:rsidRDefault="0071274C" w:rsidP="0071274C"/>
    <w:p w:rsidR="00F07705" w:rsidRPr="0071274C" w:rsidRDefault="00F07705" w:rsidP="00D43F85">
      <w:pPr>
        <w:pStyle w:val="a8"/>
        <w:spacing w:beforeLines="50" w:afterLines="50"/>
        <w:ind w:firstLineChars="0" w:firstLine="0"/>
      </w:pPr>
    </w:p>
    <w:sectPr w:rsidR="00F07705" w:rsidRPr="0071274C" w:rsidSect="00F07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340" w:rsidRDefault="00AF2340" w:rsidP="000148AA">
      <w:r>
        <w:separator/>
      </w:r>
    </w:p>
  </w:endnote>
  <w:endnote w:type="continuationSeparator" w:id="1">
    <w:p w:rsidR="00AF2340" w:rsidRDefault="00AF2340" w:rsidP="000148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340" w:rsidRDefault="00AF2340" w:rsidP="000148AA">
      <w:r>
        <w:separator/>
      </w:r>
    </w:p>
  </w:footnote>
  <w:footnote w:type="continuationSeparator" w:id="1">
    <w:p w:rsidR="00AF2340" w:rsidRDefault="00AF2340" w:rsidP="000148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693445B"/>
    <w:rsid w:val="000148AA"/>
    <w:rsid w:val="00023A53"/>
    <w:rsid w:val="00121E7C"/>
    <w:rsid w:val="001C2944"/>
    <w:rsid w:val="001F3CE6"/>
    <w:rsid w:val="00217FBE"/>
    <w:rsid w:val="00237C21"/>
    <w:rsid w:val="00357B31"/>
    <w:rsid w:val="00372CB2"/>
    <w:rsid w:val="003D4DCD"/>
    <w:rsid w:val="004422EA"/>
    <w:rsid w:val="004F15AE"/>
    <w:rsid w:val="00552A57"/>
    <w:rsid w:val="005747BC"/>
    <w:rsid w:val="00582C17"/>
    <w:rsid w:val="005E7C03"/>
    <w:rsid w:val="006A3A95"/>
    <w:rsid w:val="006C5F56"/>
    <w:rsid w:val="0071274C"/>
    <w:rsid w:val="007D3AE5"/>
    <w:rsid w:val="00917014"/>
    <w:rsid w:val="00952198"/>
    <w:rsid w:val="00A359CC"/>
    <w:rsid w:val="00A6517F"/>
    <w:rsid w:val="00AA58B0"/>
    <w:rsid w:val="00AF2340"/>
    <w:rsid w:val="00AF4669"/>
    <w:rsid w:val="00B77514"/>
    <w:rsid w:val="00B97862"/>
    <w:rsid w:val="00C76959"/>
    <w:rsid w:val="00D363D6"/>
    <w:rsid w:val="00D43F85"/>
    <w:rsid w:val="00D86C9F"/>
    <w:rsid w:val="00E000B8"/>
    <w:rsid w:val="00E03F3C"/>
    <w:rsid w:val="00E41518"/>
    <w:rsid w:val="00E63283"/>
    <w:rsid w:val="00F07705"/>
    <w:rsid w:val="069307A0"/>
    <w:rsid w:val="1B395772"/>
    <w:rsid w:val="2EE55658"/>
    <w:rsid w:val="3568348A"/>
    <w:rsid w:val="41786D74"/>
    <w:rsid w:val="4693445B"/>
    <w:rsid w:val="565519F1"/>
    <w:rsid w:val="5FAD53EB"/>
    <w:rsid w:val="6D9C2439"/>
    <w:rsid w:val="6DC47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7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1st level,Datasheet title,H1,H11,H12,H13,H14,H15,H16,H17,Head 1,Head 11,Head 111,Head 12,Head 13,Head1,Header1,Heading 0,Heading apps,Level 1 Topic Heading,PIM 1,Section Head,h1,l1,卷标题,合同标题,标书1,标题 1 1,标题 1 Char Char,标题一,章,第1章,第1章 Char"/>
    <w:basedOn w:val="a"/>
    <w:next w:val="a"/>
    <w:link w:val="1Char"/>
    <w:qFormat/>
    <w:rsid w:val="0071274C"/>
    <w:pPr>
      <w:keepNext/>
      <w:adjustRightInd w:val="0"/>
      <w:spacing w:line="360" w:lineRule="atLeast"/>
      <w:jc w:val="right"/>
      <w:textAlignment w:val="baseline"/>
      <w:outlineLvl w:val="0"/>
    </w:pPr>
    <w:rPr>
      <w:rFonts w:ascii="黑体" w:eastAsia="黑体" w:hAnsi="Times New Roman" w:cs="Times New Roman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F07705"/>
    <w:pPr>
      <w:jc w:val="left"/>
    </w:pPr>
  </w:style>
  <w:style w:type="paragraph" w:styleId="a4">
    <w:name w:val="Balloon Text"/>
    <w:basedOn w:val="a"/>
    <w:link w:val="Char"/>
    <w:semiHidden/>
    <w:unhideWhenUsed/>
    <w:rsid w:val="00F07705"/>
    <w:rPr>
      <w:sz w:val="18"/>
      <w:szCs w:val="18"/>
    </w:rPr>
  </w:style>
  <w:style w:type="paragraph" w:styleId="a5">
    <w:name w:val="footer"/>
    <w:basedOn w:val="a"/>
    <w:link w:val="Char0"/>
    <w:rsid w:val="00F0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F07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semiHidden/>
    <w:unhideWhenUsed/>
    <w:rsid w:val="00F07705"/>
  </w:style>
  <w:style w:type="paragraph" w:styleId="2">
    <w:name w:val="toc 2"/>
    <w:basedOn w:val="a"/>
    <w:next w:val="a"/>
    <w:semiHidden/>
    <w:unhideWhenUsed/>
    <w:rsid w:val="00F07705"/>
    <w:pPr>
      <w:ind w:leftChars="200" w:left="420"/>
    </w:pPr>
  </w:style>
  <w:style w:type="table" w:styleId="a7">
    <w:name w:val="Table Grid"/>
    <w:basedOn w:val="a1"/>
    <w:qFormat/>
    <w:rsid w:val="00F0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F07705"/>
    <w:pPr>
      <w:ind w:firstLineChars="200" w:firstLine="420"/>
    </w:pPr>
    <w:rPr>
      <w:szCs w:val="24"/>
    </w:rPr>
  </w:style>
  <w:style w:type="character" w:customStyle="1" w:styleId="Char1">
    <w:name w:val="页眉 Char"/>
    <w:basedOn w:val="a0"/>
    <w:link w:val="a6"/>
    <w:rsid w:val="00F077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rsid w:val="00F077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F0770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uiPriority w:val="99"/>
    <w:qFormat/>
    <w:rsid w:val="00F07705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WPSOffice1">
    <w:name w:val="WPSOffice手动目录 1"/>
    <w:rsid w:val="00F07705"/>
  </w:style>
  <w:style w:type="paragraph" w:customStyle="1" w:styleId="WPSOffice2">
    <w:name w:val="WPSOffice手动目录 2"/>
    <w:rsid w:val="00F07705"/>
    <w:pPr>
      <w:ind w:leftChars="200" w:left="200"/>
    </w:pPr>
  </w:style>
  <w:style w:type="character" w:customStyle="1" w:styleId="1Char">
    <w:name w:val="标题 1 Char"/>
    <w:aliases w:val="1st level Char,Datasheet title Char,H1 Char,H11 Char,H12 Char,H13 Char,H14 Char,H15 Char,H16 Char,H17 Char,Head 1 Char,Head 11 Char,Head 111 Char,Head 12 Char,Head 13 Char,Head1 Char,Header1 Char,Heading 0 Char,Heading apps Char,PIM 1 Char"/>
    <w:basedOn w:val="a0"/>
    <w:link w:val="1"/>
    <w:rsid w:val="0071274C"/>
    <w:rPr>
      <w:rFonts w:ascii="黑体" w:eastAsia="黑体"/>
      <w:b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WPS_1559713748</dc:creator>
  <cp:lastModifiedBy>Administrator</cp:lastModifiedBy>
  <cp:revision>5</cp:revision>
  <cp:lastPrinted>2022-04-29T00:19:00Z</cp:lastPrinted>
  <dcterms:created xsi:type="dcterms:W3CDTF">2022-08-18T01:06:00Z</dcterms:created>
  <dcterms:modified xsi:type="dcterms:W3CDTF">2022-08-18T01:21:00Z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97E4C6D1835840D1875EB0FED56B2AD9</vt:lpwstr>
  </property>
</Properties>
</file>