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hint="default" w:ascii="仿宋" w:hAnsi="仿宋" w:eastAsia="仿宋" w:cs="宋体"/>
          <w:b/>
          <w:bCs/>
          <w:sz w:val="44"/>
          <w:szCs w:val="44"/>
          <w:u w:val="single"/>
          <w:lang w:val="en-US" w:eastAsia="zh-CN"/>
        </w:rPr>
      </w:pPr>
      <w:r>
        <w:rPr>
          <w:rFonts w:hint="eastAsia" w:ascii="仿宋" w:hAnsi="仿宋" w:eastAsia="仿宋" w:cs="宋体"/>
          <w:b/>
          <w:bCs/>
          <w:sz w:val="44"/>
          <w:szCs w:val="44"/>
          <w:u w:val="single"/>
        </w:rPr>
        <w:t>铜冠建安</w:t>
      </w:r>
      <w:r>
        <w:rPr>
          <w:rFonts w:hint="eastAsia" w:ascii="仿宋" w:hAnsi="仿宋" w:eastAsia="仿宋" w:cs="宋体"/>
          <w:b/>
          <w:bCs/>
          <w:sz w:val="44"/>
          <w:szCs w:val="44"/>
          <w:u w:val="single"/>
          <w:lang w:val="en-US" w:eastAsia="zh-CN"/>
        </w:rPr>
        <w:t>老基地</w:t>
      </w:r>
      <w:r>
        <w:rPr>
          <w:rFonts w:hint="eastAsia" w:ascii="仿宋" w:hAnsi="仿宋" w:eastAsia="仿宋" w:cs="宋体"/>
          <w:b/>
          <w:bCs/>
          <w:sz w:val="44"/>
          <w:szCs w:val="44"/>
          <w:u w:val="single"/>
          <w:lang w:eastAsia="zh-CN"/>
        </w:rPr>
        <w:t>—</w:t>
      </w:r>
      <w:r>
        <w:rPr>
          <w:rFonts w:hint="eastAsia" w:ascii="仿宋" w:hAnsi="仿宋" w:eastAsia="仿宋" w:cs="宋体"/>
          <w:b/>
          <w:bCs/>
          <w:sz w:val="44"/>
          <w:szCs w:val="44"/>
          <w:u w:val="single"/>
          <w:lang w:val="en-US" w:eastAsia="zh-CN"/>
        </w:rPr>
        <w:t>废旧物资处理</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lang w:val="en-US" w:eastAsia="zh-CN"/>
        </w:rPr>
        <w:t>销售</w:t>
      </w: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113</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12</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21</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21</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翠湖三路黄山大道879号建安公司办公楼四楼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jc w:val="both"/>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hint="eastAsia" w:ascii="仿宋" w:hAnsi="仿宋" w:eastAsia="仿宋" w:cs="仿宋_GB2312"/>
          <w:sz w:val="28"/>
          <w:szCs w:val="28"/>
          <w:lang w:eastAsia="zh-CN"/>
        </w:rPr>
      </w:pPr>
      <w:r>
        <w:rPr>
          <w:rFonts w:hint="eastAsia" w:ascii="仿宋" w:hAnsi="仿宋" w:eastAsia="仿宋" w:cs="仿宋_GB2312"/>
          <w:sz w:val="28"/>
          <w:szCs w:val="28"/>
        </w:rPr>
        <w:t>本次</w:t>
      </w:r>
      <w:r>
        <w:rPr>
          <w:rFonts w:hint="eastAsia" w:ascii="仿宋" w:hAnsi="仿宋" w:eastAsia="仿宋" w:cs="仿宋_GB2312"/>
          <w:sz w:val="28"/>
          <w:szCs w:val="28"/>
          <w:lang w:val="en-US" w:eastAsia="zh-CN"/>
        </w:rPr>
        <w:t>销售</w:t>
      </w:r>
      <w:r>
        <w:rPr>
          <w:rFonts w:hint="eastAsia" w:ascii="仿宋" w:hAnsi="仿宋" w:eastAsia="仿宋" w:cs="仿宋_GB2312"/>
          <w:sz w:val="28"/>
          <w:szCs w:val="28"/>
        </w:rPr>
        <w:t>招标的具体内容</w:t>
      </w:r>
      <w:r>
        <w:rPr>
          <w:rFonts w:hint="eastAsia" w:ascii="仿宋" w:hAnsi="仿宋" w:eastAsia="仿宋" w:cs="仿宋_GB2312"/>
          <w:sz w:val="28"/>
          <w:szCs w:val="28"/>
          <w:lang w:eastAsia="zh-CN"/>
        </w:rPr>
        <w:t>：</w:t>
      </w:r>
      <w:r>
        <w:rPr>
          <w:rFonts w:hint="eastAsia" w:ascii="仿宋" w:hAnsi="仿宋" w:eastAsia="仿宋" w:cs="仿宋_GB2312"/>
          <w:sz w:val="28"/>
          <w:szCs w:val="28"/>
          <w:lang w:val="en-US" w:eastAsia="zh-CN"/>
        </w:rPr>
        <w:t>废钢材、废彩钢瓦、废钢丝绳、PVC等</w:t>
      </w:r>
      <w:r>
        <w:rPr>
          <w:rFonts w:hint="eastAsia" w:ascii="仿宋" w:hAnsi="仿宋" w:eastAsia="仿宋" w:cs="仿宋_GB2312"/>
          <w:sz w:val="28"/>
          <w:szCs w:val="28"/>
          <w:u w:val="single"/>
        </w:rPr>
        <w:t>（详见报价单）</w:t>
      </w:r>
      <w:r>
        <w:rPr>
          <w:rFonts w:hint="eastAsia" w:ascii="仿宋" w:hAnsi="仿宋" w:eastAsia="仿宋" w:cs="仿宋_GB2312"/>
          <w:sz w:val="28"/>
          <w:szCs w:val="28"/>
          <w:u w:val="single"/>
          <w:lang w:eastAsia="zh-CN"/>
        </w:rPr>
        <w:t>。</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r>
        <w:rPr>
          <w:rFonts w:hint="eastAsia" w:ascii="仿宋" w:hAnsi="仿宋" w:eastAsia="仿宋" w:cs="仿宋_GB2312"/>
          <w:sz w:val="28"/>
          <w:szCs w:val="28"/>
          <w:lang w:val="en-US" w:eastAsia="zh-CN"/>
        </w:rPr>
        <w:t>和小规模纳税人</w:t>
      </w:r>
      <w:r>
        <w:rPr>
          <w:rFonts w:hint="eastAsia" w:ascii="仿宋" w:hAnsi="仿宋" w:eastAsia="仿宋" w:cs="仿宋_GB2312"/>
          <w:sz w:val="28"/>
          <w:szCs w:val="28"/>
        </w:rPr>
        <w:t>。</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rPr>
        <w:t>3、</w:t>
      </w:r>
      <w:r>
        <w:rPr>
          <w:rFonts w:hint="eastAsia" w:ascii="仿宋" w:hAnsi="仿宋" w:eastAsia="仿宋" w:cs="仿宋_GB2312"/>
          <w:sz w:val="28"/>
          <w:szCs w:val="28"/>
          <w:highlight w:val="none"/>
        </w:rPr>
        <w:t>投标人提供的相关资质证件均须在年审有效期内。</w:t>
      </w:r>
    </w:p>
    <w:p>
      <w:pPr>
        <w:ind w:firstLine="560" w:firstLineChars="200"/>
        <w:rPr>
          <w:rFonts w:ascii="仿宋" w:hAnsi="仿宋" w:eastAsia="仿宋" w:cs="仿宋_GB2312"/>
          <w:sz w:val="28"/>
          <w:szCs w:val="28"/>
          <w:highlight w:val="none"/>
        </w:rPr>
      </w:pPr>
      <w:r>
        <w:rPr>
          <w:rFonts w:hint="eastAsia" w:ascii="仿宋" w:hAnsi="仿宋" w:eastAsia="仿宋" w:cs="仿宋_GB2312"/>
          <w:sz w:val="28"/>
          <w:szCs w:val="28"/>
          <w:highlight w:val="none"/>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14:textFill>
            <w14:solidFill>
              <w14:schemeClr w14:val="tx1"/>
            </w14:solidFill>
          </w14:textFill>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25</w:t>
      </w:r>
      <w:r>
        <w:rPr>
          <w:rFonts w:hint="eastAsia" w:ascii="仿宋" w:hAnsi="仿宋" w:eastAsia="仿宋" w:cs="仿宋_GB2312"/>
          <w:sz w:val="28"/>
          <w:szCs w:val="28"/>
          <w:u w:val="single"/>
        </w:rPr>
        <w:t>日17:</w:t>
      </w:r>
      <w:r>
        <w:rPr>
          <w:rFonts w:hint="eastAsia" w:ascii="仿宋" w:hAnsi="仿宋" w:eastAsia="仿宋" w:cs="仿宋_GB2312"/>
          <w:sz w:val="28"/>
          <w:szCs w:val="28"/>
          <w:u w:val="single"/>
          <w:lang w:val="en-US" w:eastAsia="zh-CN"/>
        </w:rPr>
        <w:t>00</w:t>
      </w:r>
      <w:r>
        <w:rPr>
          <w:rFonts w:hint="eastAsia" w:ascii="仿宋" w:hAnsi="仿宋" w:eastAsia="仿宋" w:cs="仿宋_GB2312"/>
          <w:sz w:val="28"/>
          <w:szCs w:val="28"/>
          <w:u w:val="single"/>
        </w:rPr>
        <w:t>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铜陵市翠湖三路黄山大道879号四楼物资供应部</w:t>
      </w:r>
      <w:r>
        <w:rPr>
          <w:rFonts w:hint="eastAsia" w:ascii="仿宋" w:hAnsi="仿宋" w:eastAsia="仿宋" w:cs="仿宋_GB2312"/>
          <w:sz w:val="28"/>
          <w:szCs w:val="28"/>
          <w:u w:val="single"/>
          <w:lang w:eastAsia="zh-CN"/>
        </w:rPr>
        <w:t>）</w:t>
      </w:r>
    </w:p>
    <w:p>
      <w:pPr>
        <w:jc w:val="left"/>
        <w:rPr>
          <w:rFonts w:hint="eastAsia" w:ascii="仿宋" w:hAnsi="仿宋" w:eastAsia="仿宋" w:cs="仿宋_GB2312"/>
          <w:sz w:val="28"/>
          <w:szCs w:val="28"/>
          <w:lang w:val="en-US" w:eastAsia="zh-CN"/>
        </w:rPr>
      </w:pPr>
      <w:r>
        <w:rPr>
          <w:rFonts w:hint="eastAsia" w:ascii="仿宋" w:hAnsi="仿宋" w:eastAsia="仿宋" w:cs="仿宋_GB2312"/>
          <w:sz w:val="28"/>
          <w:szCs w:val="28"/>
        </w:rPr>
        <w:t>5、联 系 人：</w:t>
      </w:r>
      <w:r>
        <w:rPr>
          <w:rFonts w:hint="eastAsia" w:ascii="仿宋" w:hAnsi="仿宋" w:eastAsia="仿宋" w:cs="仿宋_GB2312"/>
          <w:sz w:val="28"/>
          <w:szCs w:val="28"/>
          <w:u w:val="single"/>
          <w:lang w:val="en-US" w:eastAsia="zh-CN"/>
        </w:rPr>
        <w:t>徐苑（13856252433）</w:t>
      </w:r>
    </w:p>
    <w:p>
      <w:pPr>
        <w:jc w:val="center"/>
        <w:rPr>
          <w:rFonts w:hint="eastAsia" w:ascii="仿宋_GB2312" w:hAnsi="宋体" w:eastAsia="仿宋_GB2312" w:cs="仿宋_GB2312"/>
          <w:b/>
          <w:sz w:val="36"/>
          <w:szCs w:val="36"/>
        </w:rPr>
      </w:pPr>
    </w:p>
    <w:p>
      <w:pPr>
        <w:spacing w:line="560" w:lineRule="exact"/>
        <w:jc w:val="center"/>
        <w:rPr>
          <w:rFonts w:hint="eastAsia" w:ascii="仿宋_GB2312" w:hAnsi="宋体" w:eastAsia="仿宋_GB2312" w:cs="仿宋_GB2312"/>
          <w:b/>
          <w:sz w:val="36"/>
          <w:szCs w:val="36"/>
        </w:rPr>
      </w:pPr>
      <w:r>
        <w:rPr>
          <w:rFonts w:hint="eastAsia" w:ascii="仿宋_GB2312" w:hAnsi="宋体" w:eastAsia="仿宋_GB2312" w:cs="仿宋_GB2312"/>
          <w:b/>
          <w:sz w:val="36"/>
          <w:szCs w:val="36"/>
        </w:rPr>
        <w:t>六、保证金</w:t>
      </w:r>
    </w:p>
    <w:p>
      <w:pPr>
        <w:spacing w:line="560" w:lineRule="exact"/>
        <w:jc w:val="center"/>
        <w:rPr>
          <w:rFonts w:hint="eastAsia" w:ascii="仿宋_GB2312" w:hAnsi="宋体" w:eastAsia="仿宋_GB2312" w:cs="仿宋_GB2312"/>
          <w:b/>
          <w:sz w:val="36"/>
          <w:szCs w:val="36"/>
        </w:rPr>
      </w:pPr>
    </w:p>
    <w:p>
      <w:pPr>
        <w:spacing w:line="560" w:lineRule="exact"/>
        <w:ind w:firstLine="560" w:firstLineChars="200"/>
        <w:jc w:val="left"/>
        <w:rPr>
          <w:rFonts w:hint="eastAsia" w:ascii="仿宋_GB2312" w:hAnsi="仿宋_GB2312" w:eastAsia="仿宋_GB2312" w:cs="仿宋_GB2312"/>
          <w:b/>
          <w:bCs/>
          <w:color w:val="C00000"/>
          <w:sz w:val="28"/>
          <w:szCs w:val="28"/>
        </w:rPr>
      </w:pPr>
      <w:r>
        <w:rPr>
          <w:rFonts w:hint="eastAsia" w:ascii="仿宋_GB2312" w:hAnsi="仿宋_GB2312" w:eastAsia="仿宋_GB2312" w:cs="仿宋_GB2312"/>
          <w:sz w:val="28"/>
          <w:szCs w:val="28"/>
        </w:rPr>
        <w:t>1、为严肃和规范投标行为，确保投标的顺利以及中标后合同的有效执行，投标人须向招标人缴纳投标保证金</w:t>
      </w:r>
      <w:r>
        <w:rPr>
          <w:rFonts w:hint="eastAsia" w:ascii="仿宋_GB2312" w:hAnsi="仿宋_GB2312" w:eastAsia="仿宋_GB2312" w:cs="仿宋_GB2312"/>
          <w:sz w:val="28"/>
          <w:szCs w:val="28"/>
          <w:lang w:val="en-US" w:eastAsia="zh-CN"/>
        </w:rPr>
        <w:t>壹拾万圆整。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投标文件内附汇款凭证复印件。</w:t>
      </w:r>
      <w:r>
        <w:rPr>
          <w:rFonts w:hint="eastAsia" w:ascii="仿宋_GB2312" w:hAnsi="仿宋_GB2312" w:eastAsia="仿宋_GB2312" w:cs="仿宋_GB2312"/>
          <w:b/>
          <w:bCs/>
          <w:color w:val="FF0000"/>
          <w:sz w:val="28"/>
          <w:szCs w:val="28"/>
        </w:rPr>
        <w:t>投标保证金须对公账户转账，不接受私人账户转账</w:t>
      </w:r>
      <w:r>
        <w:rPr>
          <w:rFonts w:hint="eastAsia" w:ascii="仿宋_GB2312" w:hAnsi="仿宋_GB2312" w:eastAsia="仿宋_GB2312" w:cs="仿宋_GB2312"/>
          <w:sz w:val="28"/>
          <w:szCs w:val="28"/>
        </w:rPr>
        <w:t>，同时要求注明</w:t>
      </w:r>
      <w:r>
        <w:rPr>
          <w:rFonts w:hint="eastAsia" w:ascii="仿宋_GB2312" w:hAnsi="仿宋_GB2312" w:eastAsia="仿宋_GB2312" w:cs="仿宋_GB2312"/>
          <w:b/>
          <w:bCs/>
          <w:sz w:val="28"/>
          <w:szCs w:val="28"/>
          <w:u w:val="single"/>
        </w:rPr>
        <w:t>TGJA-WZ-2022</w:t>
      </w:r>
      <w:r>
        <w:rPr>
          <w:rFonts w:hint="eastAsia" w:ascii="仿宋_GB2312" w:hAnsi="仿宋_GB2312" w:eastAsia="仿宋_GB2312" w:cs="仿宋_GB2312"/>
          <w:b/>
          <w:bCs/>
          <w:sz w:val="28"/>
          <w:szCs w:val="28"/>
          <w:u w:val="single"/>
          <w:lang w:val="en-US" w:eastAsia="zh-CN"/>
        </w:rPr>
        <w:t>113废旧物资处理</w:t>
      </w:r>
      <w:r>
        <w:rPr>
          <w:rFonts w:hint="eastAsia" w:ascii="仿宋_GB2312" w:hAnsi="仿宋_GB2312" w:eastAsia="仿宋_GB2312" w:cs="仿宋_GB2312"/>
          <w:b/>
          <w:bCs/>
          <w:sz w:val="28"/>
          <w:szCs w:val="28"/>
          <w:u w:val="single"/>
        </w:rPr>
        <w:t>投标保证金。</w:t>
      </w:r>
    </w:p>
    <w:p>
      <w:pPr>
        <w:spacing w:line="560" w:lineRule="exact"/>
        <w:ind w:firstLine="562" w:firstLineChars="200"/>
        <w:jc w:val="left"/>
        <w:rPr>
          <w:rFonts w:hint="eastAsia" w:ascii="仿宋_GB2312" w:hAnsi="仿宋_GB2312" w:eastAsia="仿宋_GB2312" w:cs="仿宋_GB2312"/>
          <w:b/>
          <w:bCs/>
          <w:color w:val="C00000"/>
          <w:sz w:val="28"/>
          <w:szCs w:val="28"/>
        </w:rPr>
      </w:pPr>
      <w:r>
        <w:rPr>
          <w:rFonts w:hint="eastAsia" w:ascii="仿宋_GB2312" w:hAnsi="仿宋_GB2312" w:eastAsia="仿宋_GB2312" w:cs="仿宋_GB2312"/>
          <w:b/>
          <w:bCs/>
          <w:color w:val="FF0000"/>
          <w:sz w:val="28"/>
          <w:szCs w:val="28"/>
        </w:rPr>
        <w:t>2、下列任何情况发生时，投标保证金将被不予退还：</w:t>
      </w:r>
      <w:r>
        <w:rPr>
          <w:rFonts w:hint="eastAsia" w:ascii="仿宋_GB2312" w:hAnsi="仿宋_GB2312" w:eastAsia="仿宋_GB2312" w:cs="仿宋_GB2312"/>
          <w:b/>
          <w:bCs/>
          <w:color w:val="C00000"/>
          <w:sz w:val="28"/>
          <w:szCs w:val="28"/>
        </w:rPr>
        <w:t xml:space="preserve"> </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（1）投标人在投标截止后至投标有效期内撤回投标文件的； </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（2）中标人未能在规定期限内按照招标文件签订合同协议；</w:t>
      </w:r>
    </w:p>
    <w:p>
      <w:pPr>
        <w:spacing w:line="56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（3）签署合同后，未能在规定的时间内提供履约保证金；</w:t>
      </w:r>
    </w:p>
    <w:p>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（4）投标人在招标中存在违规和违法行为的。</w:t>
      </w:r>
    </w:p>
    <w:p>
      <w:pPr>
        <w:spacing w:line="560" w:lineRule="exact"/>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（5）中标人因自身原因放弃中标资格的。</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3、在签订合同前，中标人须交纳履约保证金。履约保证金金额为中标合同总金额的 </w:t>
      </w:r>
      <w:r>
        <w:rPr>
          <w:rFonts w:hint="eastAsia" w:ascii="仿宋_GB2312" w:hAnsi="仿宋_GB2312" w:eastAsia="仿宋_GB2312" w:cs="仿宋_GB2312"/>
          <w:sz w:val="28"/>
          <w:szCs w:val="28"/>
          <w:u w:val="single"/>
        </w:rPr>
        <w:t xml:space="preserve">10%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4、招标人与中标人签订合同后</w:t>
      </w:r>
      <w:r>
        <w:rPr>
          <w:rFonts w:hint="eastAsia" w:ascii="仿宋_GB2312" w:hAnsi="仿宋_GB2312" w:eastAsia="仿宋_GB2312" w:cs="仿宋_GB2312"/>
          <w:b/>
          <w:bCs/>
          <w:color w:val="C00000"/>
          <w:sz w:val="28"/>
          <w:szCs w:val="28"/>
        </w:rPr>
        <w:t>7</w:t>
      </w:r>
      <w:r>
        <w:rPr>
          <w:rFonts w:hint="eastAsia" w:ascii="仿宋_GB2312" w:hAnsi="仿宋_GB2312" w:eastAsia="仿宋_GB2312" w:cs="仿宋_GB2312"/>
          <w:sz w:val="28"/>
          <w:szCs w:val="28"/>
        </w:rPr>
        <w:t>日内，向未中标的投标人退还投标保证金，中标人在签订合同并交纳履约保证金后退还投标保证金。</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5、公司对公账户信息</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账户名称：</w:t>
      </w:r>
      <w:r>
        <w:rPr>
          <w:rFonts w:hint="eastAsia" w:ascii="仿宋_GB2312" w:hAnsi="仿宋_GB2312" w:eastAsia="仿宋_GB2312" w:cs="仿宋_GB2312"/>
          <w:sz w:val="28"/>
          <w:szCs w:val="28"/>
          <w:u w:val="single"/>
        </w:rPr>
        <w:t>铜陵有色金属集团铜冠建筑安装股份有限公司</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账    号：</w:t>
      </w:r>
      <w:r>
        <w:rPr>
          <w:rFonts w:hint="eastAsia" w:ascii="仿宋_GB2312" w:hAnsi="仿宋_GB2312" w:eastAsia="仿宋_GB2312" w:cs="仿宋_GB2312"/>
          <w:sz w:val="28"/>
          <w:szCs w:val="28"/>
          <w:u w:val="single"/>
        </w:rPr>
        <w:t>1308024009200056147</w:t>
      </w:r>
    </w:p>
    <w:p>
      <w:pPr>
        <w:spacing w:line="56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开 户 行：</w:t>
      </w:r>
      <w:r>
        <w:rPr>
          <w:rFonts w:hint="eastAsia" w:ascii="仿宋_GB2312" w:hAnsi="仿宋_GB2312" w:eastAsia="仿宋_GB2312" w:cs="仿宋_GB2312"/>
          <w:sz w:val="28"/>
          <w:szCs w:val="28"/>
          <w:u w:val="single"/>
        </w:rPr>
        <w:t>工行铜都办</w:t>
      </w:r>
    </w:p>
    <w:p>
      <w:pPr>
        <w:jc w:val="both"/>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七</w:t>
      </w:r>
      <w:r>
        <w:rPr>
          <w:rFonts w:hint="eastAsia" w:ascii="仿宋" w:hAnsi="仿宋" w:eastAsia="仿宋" w:cs="仿宋_GB2312"/>
          <w:b/>
          <w:sz w:val="36"/>
          <w:szCs w:val="36"/>
        </w:rPr>
        <w:t>、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26</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pStyle w:val="2"/>
        <w:ind w:left="0" w:leftChars="0" w:firstLine="0" w:firstLineChars="0"/>
      </w:pPr>
    </w:p>
    <w:p>
      <w:pPr>
        <w:jc w:val="center"/>
        <w:rPr>
          <w:rFonts w:ascii="仿宋" w:hAnsi="仿宋" w:eastAsia="仿宋" w:cs="仿宋_GB2312"/>
          <w:b/>
          <w:sz w:val="36"/>
          <w:szCs w:val="36"/>
        </w:rPr>
      </w:pPr>
      <w:r>
        <w:rPr>
          <w:rFonts w:hint="eastAsia" w:ascii="仿宋" w:hAnsi="仿宋" w:eastAsia="仿宋" w:cs="仿宋_GB2312"/>
          <w:b/>
          <w:sz w:val="36"/>
          <w:szCs w:val="36"/>
          <w:lang w:val="en-US" w:eastAsia="zh-CN"/>
        </w:rPr>
        <w:t>八</w:t>
      </w:r>
      <w:r>
        <w:rPr>
          <w:rFonts w:hint="eastAsia" w:ascii="仿宋" w:hAnsi="仿宋" w:eastAsia="仿宋" w:cs="仿宋_GB2312"/>
          <w:b/>
          <w:sz w:val="36"/>
          <w:szCs w:val="36"/>
        </w:rPr>
        <w:t>、投标人须知</w:t>
      </w:r>
    </w:p>
    <w:p>
      <w:pPr>
        <w:jc w:val="center"/>
        <w:rPr>
          <w:rFonts w:ascii="仿宋" w:hAnsi="仿宋" w:eastAsia="仿宋" w:cs="仿宋_GB2312"/>
          <w:b/>
          <w:sz w:val="36"/>
          <w:szCs w:val="36"/>
        </w:rPr>
      </w:pPr>
    </w:p>
    <w:p>
      <w:pPr>
        <w:numPr>
          <w:ilvl w:val="0"/>
          <w:numId w:val="2"/>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报价相关要求</w:t>
      </w:r>
    </w:p>
    <w:p>
      <w:pPr>
        <w:numPr>
          <w:ilvl w:val="0"/>
          <w:numId w:val="0"/>
        </w:numPr>
        <w:ind w:firstLine="560" w:firstLineChars="2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（1）报价为含装车、含运输及机械费等，铜冠建安公司将开具13%增值税专用发票。</w:t>
      </w:r>
    </w:p>
    <w:p>
      <w:pPr>
        <w:numPr>
          <w:ilvl w:val="0"/>
          <w:numId w:val="0"/>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（2）各投标单位在投标报价前应仔细审阅招标公告、报价表及报价说明等与此次报价相关的所有资料。报价要谨慎，一旦中标，视为理解并考虑了招标人一切要求的报价，不得以任何理由变更。</w:t>
      </w:r>
    </w:p>
    <w:p>
      <w:pPr>
        <w:numPr>
          <w:ilvl w:val="0"/>
          <w:numId w:val="2"/>
        </w:numPr>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数量结算：以铜陵铜冠建安新型环保科技有限公司的磅单为结算依据。</w:t>
      </w:r>
    </w:p>
    <w:p>
      <w:pPr>
        <w:numPr>
          <w:ilvl w:val="0"/>
          <w:numId w:val="2"/>
        </w:numPr>
        <w:ind w:left="0" w:leftChars="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处理地点：安徽省铜陵市经济技术开发区翠湖二路西段666号建安公司老基地。</w:t>
      </w:r>
    </w:p>
    <w:p>
      <w:pPr>
        <w:pStyle w:val="2"/>
        <w:ind w:left="0"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4、付款方式：采取日结方式，要求提货单位每日处理完最后一车将货款打至建安公司指定账户。</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5、标书相关要求</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以上事项不符合要求的视为无效投标。</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（2）投标文件密封袋封口处应密封完整，加盖投标单位公章（原章），并且注明招标编号及材料名称。因投标人制作、密封、寄送报价文件不符合要求的视为无效投标。</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3）投标人的所有报价文件，除《法定代表人授权书》中的法定代表人签名、投标廉洁承诺书中的承诺人签字、报价单中的法定代表人或授权委托人签名须手写以外，其他填写的内容均为加盖单位公章（原章）的打印件。以上事项不符合要求的视为无效投标。 </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（4）装订要求</w:t>
      </w:r>
    </w:p>
    <w:p>
      <w:pPr>
        <w:numPr>
          <w:ilvl w:val="0"/>
          <w:numId w:val="0"/>
        </w:numPr>
        <w:ind w:firstLine="840" w:firstLineChars="3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密封袋封口处应密封严实，并应加盖投标人公章（原章）。未按装订要求装订的，我公司不负责相关保密要求，同时视为无效投标。</w:t>
      </w:r>
    </w:p>
    <w:p>
      <w:pPr>
        <w:numPr>
          <w:ilvl w:val="0"/>
          <w:numId w:val="3"/>
        </w:num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本次招标销售的废旧物资由中标人负责运输。运输过程中未按相关安全、环保等要求所导致的一切安全、环保事故由中标人承担责任。</w:t>
      </w:r>
    </w:p>
    <w:p>
      <w:pPr>
        <w:pStyle w:val="2"/>
        <w:numPr>
          <w:ilvl w:val="0"/>
          <w:numId w:val="3"/>
        </w:numPr>
        <w:ind w:left="0" w:leftChars="0" w:firstLine="560" w:firstLineChars="2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废旧物资处理工作完成后，必须对处理场地进行清理。为保证处理场地及时清理，场地清理工作结束后，招标单位将中标单位的履约保证金进行退回。</w:t>
      </w:r>
    </w:p>
    <w:p>
      <w:pPr>
        <w:pStyle w:val="2"/>
        <w:numPr>
          <w:ilvl w:val="0"/>
          <w:numId w:val="3"/>
        </w:numPr>
        <w:ind w:left="0" w:leftChars="0" w:firstLine="562" w:firstLineChars="200"/>
        <w:jc w:val="left"/>
        <w:rPr>
          <w:rFonts w:hint="default" w:ascii="仿宋_GB2312" w:hAnsi="仿宋_GB2312" w:eastAsia="仿宋_GB2312" w:cs="仿宋_GB2312"/>
          <w:b/>
          <w:bCs/>
          <w:kern w:val="2"/>
          <w:sz w:val="28"/>
          <w:szCs w:val="28"/>
          <w:highlight w:val="none"/>
          <w:lang w:val="en-US" w:eastAsia="zh-CN" w:bidi="ar-SA"/>
        </w:rPr>
      </w:pPr>
      <w:r>
        <w:rPr>
          <w:rFonts w:hint="default" w:ascii="仿宋_GB2312" w:hAnsi="仿宋_GB2312" w:eastAsia="仿宋_GB2312" w:cs="仿宋_GB2312"/>
          <w:b/>
          <w:bCs/>
          <w:kern w:val="2"/>
          <w:sz w:val="28"/>
          <w:szCs w:val="28"/>
          <w:highlight w:val="none"/>
          <w:lang w:val="en-US" w:eastAsia="zh-CN" w:bidi="ar-SA"/>
        </w:rPr>
        <w:t>工期要求</w:t>
      </w:r>
      <w:r>
        <w:rPr>
          <w:rFonts w:hint="eastAsia" w:ascii="仿宋_GB2312" w:hAnsi="仿宋_GB2312" w:eastAsia="仿宋_GB2312" w:cs="仿宋_GB2312"/>
          <w:b/>
          <w:bCs/>
          <w:kern w:val="2"/>
          <w:sz w:val="28"/>
          <w:szCs w:val="28"/>
          <w:highlight w:val="none"/>
          <w:lang w:val="en-US" w:eastAsia="zh-CN" w:bidi="ar-SA"/>
        </w:rPr>
        <w:t>：</w:t>
      </w:r>
      <w:r>
        <w:rPr>
          <w:rFonts w:hint="default" w:ascii="仿宋_GB2312" w:hAnsi="仿宋_GB2312" w:eastAsia="仿宋_GB2312" w:cs="仿宋_GB2312"/>
          <w:b/>
          <w:bCs/>
          <w:kern w:val="2"/>
          <w:sz w:val="28"/>
          <w:szCs w:val="28"/>
          <w:highlight w:val="none"/>
          <w:lang w:val="en-US" w:eastAsia="zh-CN" w:bidi="ar-SA"/>
        </w:rPr>
        <w:t>合同签订后 10 个工作日内完成</w:t>
      </w:r>
      <w:r>
        <w:rPr>
          <w:rFonts w:hint="eastAsia" w:ascii="仿宋_GB2312" w:hAnsi="仿宋_GB2312" w:eastAsia="仿宋_GB2312" w:cs="仿宋_GB2312"/>
          <w:b/>
          <w:bCs/>
          <w:kern w:val="2"/>
          <w:sz w:val="28"/>
          <w:szCs w:val="28"/>
          <w:highlight w:val="none"/>
          <w:lang w:val="en-US" w:eastAsia="zh-CN" w:bidi="ar-SA"/>
        </w:rPr>
        <w:t>所有废旧物资处理及地面清洁工作。</w:t>
      </w:r>
    </w:p>
    <w:p>
      <w:pPr>
        <w:pStyle w:val="2"/>
        <w:ind w:left="0" w:leftChars="0" w:firstLine="0" w:firstLineChars="0"/>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九</w:t>
      </w:r>
      <w:r>
        <w:rPr>
          <w:rFonts w:hint="eastAsia" w:ascii="仿宋" w:hAnsi="仿宋" w:eastAsia="仿宋" w:cs="仿宋_GB2312"/>
          <w:b/>
          <w:sz w:val="36"/>
          <w:szCs w:val="36"/>
        </w:rPr>
        <w:t>、评标及中标履约要求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w:t>
      </w:r>
      <w:r>
        <w:rPr>
          <w:rFonts w:hint="eastAsia" w:ascii="仿宋" w:hAnsi="仿宋" w:eastAsia="仿宋" w:cs="仿宋_GB2312"/>
          <w:sz w:val="28"/>
          <w:szCs w:val="28"/>
          <w:u w:val="single"/>
          <w:lang w:val="en-US" w:eastAsia="zh-CN"/>
        </w:rPr>
        <w:t>报价最高的单位为预中标单位。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14:textFill>
            <w14:solidFill>
              <w14:schemeClr w14:val="tx1"/>
            </w14:solidFill>
          </w14:textFill>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lang w:val="en-US" w:eastAsia="zh-CN"/>
        </w:rPr>
        <w:t>十</w:t>
      </w:r>
      <w:r>
        <w:rPr>
          <w:rFonts w:hint="eastAsia" w:ascii="仿宋" w:hAnsi="仿宋" w:eastAsia="仿宋" w:cs="仿宋_GB2312"/>
          <w:b/>
          <w:sz w:val="36"/>
          <w:szCs w:val="36"/>
        </w:rPr>
        <w:t>、纪律和监督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一</w:t>
      </w:r>
      <w:r>
        <w:rPr>
          <w:rFonts w:hint="eastAsia" w:ascii="仿宋" w:hAnsi="仿宋" w:eastAsia="仿宋" w:cs="仿宋_GB2312"/>
          <w:b/>
          <w:sz w:val="36"/>
          <w:szCs w:val="36"/>
        </w:rPr>
        <w:t>、法定代表人授权书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二</w:t>
      </w:r>
      <w:r>
        <w:rPr>
          <w:rFonts w:hint="eastAsia" w:ascii="仿宋" w:hAnsi="仿宋" w:eastAsia="仿宋" w:cs="仿宋_GB2312"/>
          <w:b/>
          <w:sz w:val="36"/>
          <w:szCs w:val="36"/>
        </w:rPr>
        <w:t>、投标廉洁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4"/>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4"/>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w:t>
      </w:r>
      <w:r>
        <w:rPr>
          <w:rFonts w:hint="eastAsia" w:ascii="仿宋" w:hAnsi="仿宋" w:eastAsia="仿宋" w:cs="仿宋_GB2312"/>
          <w:b/>
          <w:sz w:val="36"/>
          <w:szCs w:val="36"/>
          <w:lang w:val="en-US" w:eastAsia="zh-CN"/>
        </w:rPr>
        <w:t>三</w:t>
      </w:r>
      <w:r>
        <w:rPr>
          <w:rFonts w:hint="eastAsia" w:ascii="仿宋" w:hAnsi="仿宋" w:eastAsia="仿宋" w:cs="仿宋_GB2312"/>
          <w:b/>
          <w:sz w:val="36"/>
          <w:szCs w:val="36"/>
        </w:rPr>
        <w:t>、报价单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113</w:t>
      </w:r>
      <w:r>
        <w:rPr>
          <w:rFonts w:hint="eastAsia" w:ascii="仿宋" w:hAnsi="仿宋" w:eastAsia="仿宋"/>
          <w:b/>
          <w:sz w:val="28"/>
          <w:szCs w:val="28"/>
        </w:rPr>
        <w:t>）</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232"/>
        <w:gridCol w:w="871"/>
        <w:gridCol w:w="1281"/>
        <w:gridCol w:w="1248"/>
        <w:gridCol w:w="453"/>
        <w:gridCol w:w="768"/>
        <w:gridCol w:w="1079"/>
        <w:gridCol w:w="1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7232" w:type="dxa"/>
            <w:vAlign w:val="center"/>
          </w:tcPr>
          <w:p>
            <w:pPr>
              <w:jc w:val="center"/>
              <w:rPr>
                <w:rFonts w:hint="eastAsia" w:ascii="仿宋" w:hAnsi="仿宋" w:eastAsia="仿宋"/>
                <w:sz w:val="24"/>
                <w:lang w:val="en-US" w:eastAsia="zh-CN"/>
              </w:rPr>
            </w:pPr>
            <w:r>
              <w:rPr>
                <w:rFonts w:hint="eastAsia" w:ascii="仿宋" w:hAnsi="仿宋" w:eastAsia="仿宋"/>
                <w:sz w:val="24"/>
              </w:rPr>
              <w:t>物料</w:t>
            </w:r>
            <w:r>
              <w:rPr>
                <w:rFonts w:hint="eastAsia" w:ascii="仿宋" w:hAnsi="仿宋" w:eastAsia="仿宋"/>
                <w:sz w:val="24"/>
                <w:lang w:val="en-US" w:eastAsia="zh-CN"/>
              </w:rPr>
              <w:t>名称</w:t>
            </w:r>
          </w:p>
        </w:tc>
        <w:tc>
          <w:tcPr>
            <w:tcW w:w="871" w:type="dxa"/>
            <w:vAlign w:val="center"/>
          </w:tcPr>
          <w:p>
            <w:pPr>
              <w:jc w:val="center"/>
              <w:rPr>
                <w:rFonts w:ascii="仿宋" w:hAnsi="仿宋" w:eastAsia="仿宋"/>
                <w:sz w:val="24"/>
              </w:rPr>
            </w:pPr>
            <w:r>
              <w:rPr>
                <w:rFonts w:hint="eastAsia" w:ascii="仿宋" w:hAnsi="仿宋" w:eastAsia="仿宋"/>
                <w:sz w:val="24"/>
              </w:rPr>
              <w:t>单位</w:t>
            </w:r>
          </w:p>
        </w:tc>
        <w:tc>
          <w:tcPr>
            <w:tcW w:w="1281" w:type="dxa"/>
            <w:vAlign w:val="center"/>
          </w:tcPr>
          <w:p>
            <w:pPr>
              <w:jc w:val="center"/>
              <w:rPr>
                <w:rFonts w:ascii="仿宋" w:hAnsi="仿宋" w:eastAsia="仿宋"/>
                <w:sz w:val="24"/>
              </w:rPr>
            </w:pPr>
            <w:r>
              <w:rPr>
                <w:rFonts w:hint="eastAsia" w:ascii="仿宋" w:hAnsi="仿宋" w:eastAsia="仿宋"/>
                <w:sz w:val="24"/>
              </w:rPr>
              <w:t>数量</w:t>
            </w:r>
          </w:p>
        </w:tc>
        <w:tc>
          <w:tcPr>
            <w:tcW w:w="1248" w:type="dxa"/>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221" w:type="dxa"/>
            <w:gridSpan w:val="2"/>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14:textFill>
                  <w14:solidFill>
                    <w14:schemeClr w14:val="tx1"/>
                  </w14:solidFill>
                </w14:textFill>
              </w:rPr>
              <w:t>总价</w:t>
            </w:r>
            <w:r>
              <w:rPr>
                <w:rFonts w:hint="eastAsia" w:ascii="仿宋" w:hAnsi="仿宋" w:eastAsia="仿宋"/>
                <w:bCs/>
                <w:color w:val="FF0000"/>
                <w:sz w:val="24"/>
              </w:rPr>
              <w:t>＊</w:t>
            </w:r>
          </w:p>
        </w:tc>
        <w:tc>
          <w:tcPr>
            <w:tcW w:w="1079" w:type="dxa"/>
            <w:vAlign w:val="center"/>
          </w:tcPr>
          <w:p>
            <w:pPr>
              <w:jc w:val="center"/>
              <w:rPr>
                <w:rFonts w:ascii="仿宋" w:hAnsi="仿宋" w:eastAsia="仿宋"/>
                <w:bCs/>
                <w:sz w:val="24"/>
              </w:rPr>
            </w:pPr>
            <w:r>
              <w:rPr>
                <w:rFonts w:hint="eastAsia" w:ascii="仿宋" w:hAnsi="仿宋" w:eastAsia="仿宋"/>
                <w:bCs/>
                <w:sz w:val="24"/>
              </w:rPr>
              <w:t>税率</w:t>
            </w:r>
          </w:p>
        </w:tc>
        <w:tc>
          <w:tcPr>
            <w:tcW w:w="1810" w:type="dxa"/>
            <w:vAlign w:val="center"/>
          </w:tcPr>
          <w:p>
            <w:pPr>
              <w:jc w:val="center"/>
              <w:rPr>
                <w:rFonts w:hint="default" w:ascii="仿宋" w:hAnsi="仿宋" w:eastAsia="仿宋"/>
                <w:sz w:val="24"/>
                <w:lang w:val="en-US" w:eastAsia="zh-CN"/>
              </w:rPr>
            </w:pPr>
            <w:r>
              <w:rPr>
                <w:rFonts w:hint="eastAsia" w:ascii="仿宋" w:hAnsi="仿宋" w:eastAsia="仿宋"/>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w:t>
            </w:r>
          </w:p>
        </w:tc>
        <w:tc>
          <w:tcPr>
            <w:tcW w:w="7232" w:type="dxa"/>
            <w:vAlign w:val="center"/>
          </w:tcPr>
          <w:p>
            <w:pPr>
              <w:keepNext w:val="0"/>
              <w:keepLines w:val="0"/>
              <w:widowControl/>
              <w:suppressLineNumbers w:val="0"/>
              <w:jc w:val="center"/>
              <w:textAlignment w:val="center"/>
              <w:rPr>
                <w:rFonts w:hint="default" w:ascii="宋体" w:hAnsi="宋体" w:cs="宋体"/>
                <w:i w:val="0"/>
                <w:iCs w:val="0"/>
                <w:color w:val="000000"/>
                <w:kern w:val="2"/>
                <w:sz w:val="22"/>
                <w:szCs w:val="22"/>
                <w:u w:val="none"/>
                <w:lang w:val="en-US" w:eastAsia="zh-CN" w:bidi="ar-SA"/>
              </w:rPr>
            </w:pPr>
            <w:r>
              <w:rPr>
                <w:rFonts w:hint="eastAsia" w:ascii="宋体" w:hAnsi="宋体" w:cs="宋体"/>
                <w:i w:val="0"/>
                <w:iCs w:val="0"/>
                <w:color w:val="000000"/>
                <w:kern w:val="2"/>
                <w:sz w:val="22"/>
                <w:szCs w:val="22"/>
                <w:u w:val="none"/>
                <w:lang w:val="en-US" w:eastAsia="zh-CN" w:bidi="ar-SA"/>
              </w:rPr>
              <w:t>废钢材</w:t>
            </w:r>
          </w:p>
        </w:tc>
        <w:tc>
          <w:tcPr>
            <w:tcW w:w="871"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吨</w:t>
            </w:r>
          </w:p>
        </w:tc>
        <w:tc>
          <w:tcPr>
            <w:tcW w:w="1281"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180</w:t>
            </w:r>
          </w:p>
        </w:tc>
        <w:tc>
          <w:tcPr>
            <w:tcW w:w="1248" w:type="dxa"/>
            <w:vAlign w:val="center"/>
          </w:tcPr>
          <w:p>
            <w:pPr>
              <w:jc w:val="center"/>
              <w:rPr>
                <w:rFonts w:ascii="仿宋" w:hAnsi="仿宋" w:eastAsia="仿宋" w:cs="宋体"/>
                <w:sz w:val="22"/>
                <w:szCs w:val="22"/>
              </w:rPr>
            </w:pPr>
          </w:p>
        </w:tc>
        <w:tc>
          <w:tcPr>
            <w:tcW w:w="1221" w:type="dxa"/>
            <w:gridSpan w:val="2"/>
            <w:vAlign w:val="center"/>
          </w:tcPr>
          <w:p>
            <w:pPr>
              <w:spacing w:line="360" w:lineRule="auto"/>
              <w:jc w:val="center"/>
              <w:rPr>
                <w:rFonts w:ascii="仿宋" w:hAnsi="仿宋" w:eastAsia="仿宋"/>
              </w:rPr>
            </w:pPr>
          </w:p>
        </w:tc>
        <w:tc>
          <w:tcPr>
            <w:tcW w:w="107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13%</w:t>
            </w:r>
          </w:p>
        </w:tc>
        <w:tc>
          <w:tcPr>
            <w:tcW w:w="1810"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2</w:t>
            </w:r>
          </w:p>
        </w:tc>
        <w:tc>
          <w:tcPr>
            <w:tcW w:w="7232" w:type="dxa"/>
            <w:vAlign w:val="center"/>
          </w:tcPr>
          <w:p>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彩钢瓦（含夹芯板）、吊顶龙骨、塑喷钢丝网、废钢丝绳、PVC等塑料、塑钢窗、木质用品等</w:t>
            </w:r>
          </w:p>
        </w:tc>
        <w:tc>
          <w:tcPr>
            <w:tcW w:w="871"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吨</w:t>
            </w:r>
          </w:p>
        </w:tc>
        <w:tc>
          <w:tcPr>
            <w:tcW w:w="1281"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4</w:t>
            </w:r>
          </w:p>
        </w:tc>
        <w:tc>
          <w:tcPr>
            <w:tcW w:w="1248" w:type="dxa"/>
            <w:vAlign w:val="center"/>
          </w:tcPr>
          <w:p>
            <w:pPr>
              <w:jc w:val="center"/>
              <w:rPr>
                <w:rFonts w:ascii="仿宋" w:hAnsi="仿宋" w:eastAsia="仿宋" w:cs="宋体"/>
                <w:sz w:val="22"/>
                <w:szCs w:val="22"/>
              </w:rPr>
            </w:pPr>
          </w:p>
        </w:tc>
        <w:tc>
          <w:tcPr>
            <w:tcW w:w="1221" w:type="dxa"/>
            <w:gridSpan w:val="2"/>
            <w:vAlign w:val="center"/>
          </w:tcPr>
          <w:p>
            <w:pPr>
              <w:spacing w:line="360" w:lineRule="auto"/>
              <w:jc w:val="center"/>
              <w:rPr>
                <w:rFonts w:ascii="仿宋" w:hAnsi="仿宋" w:eastAsia="仿宋"/>
              </w:rPr>
            </w:pPr>
          </w:p>
        </w:tc>
        <w:tc>
          <w:tcPr>
            <w:tcW w:w="1079" w:type="dxa"/>
            <w:vAlign w:val="center"/>
          </w:tcPr>
          <w:p>
            <w:pPr>
              <w:jc w:val="center"/>
              <w:rPr>
                <w:rFonts w:ascii="仿宋" w:hAnsi="仿宋" w:eastAsia="仿宋"/>
                <w:szCs w:val="21"/>
              </w:rPr>
            </w:pPr>
            <w:r>
              <w:rPr>
                <w:rFonts w:hint="eastAsia" w:ascii="仿宋" w:hAnsi="仿宋" w:eastAsia="仿宋"/>
                <w:szCs w:val="21"/>
                <w:lang w:val="en-US" w:eastAsia="zh-CN"/>
              </w:rPr>
              <w:t>13%</w:t>
            </w:r>
          </w:p>
        </w:tc>
        <w:tc>
          <w:tcPr>
            <w:tcW w:w="1810"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3</w:t>
            </w:r>
          </w:p>
        </w:tc>
        <w:tc>
          <w:tcPr>
            <w:tcW w:w="72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废旧电机小设备及电焊机、废旧配电箱（含不能使用的断路器）</w:t>
            </w:r>
          </w:p>
        </w:tc>
        <w:tc>
          <w:tcPr>
            <w:tcW w:w="871"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吨</w:t>
            </w:r>
          </w:p>
        </w:tc>
        <w:tc>
          <w:tcPr>
            <w:tcW w:w="1281"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5</w:t>
            </w:r>
          </w:p>
        </w:tc>
        <w:tc>
          <w:tcPr>
            <w:tcW w:w="1248" w:type="dxa"/>
            <w:vAlign w:val="center"/>
          </w:tcPr>
          <w:p>
            <w:pPr>
              <w:jc w:val="center"/>
              <w:rPr>
                <w:rFonts w:ascii="仿宋" w:hAnsi="仿宋" w:eastAsia="仿宋" w:cs="宋体"/>
                <w:sz w:val="22"/>
                <w:szCs w:val="22"/>
              </w:rPr>
            </w:pPr>
          </w:p>
        </w:tc>
        <w:tc>
          <w:tcPr>
            <w:tcW w:w="1221" w:type="dxa"/>
            <w:gridSpan w:val="2"/>
            <w:vAlign w:val="center"/>
          </w:tcPr>
          <w:p>
            <w:pPr>
              <w:spacing w:line="360" w:lineRule="auto"/>
              <w:jc w:val="center"/>
              <w:rPr>
                <w:rFonts w:ascii="仿宋" w:hAnsi="仿宋" w:eastAsia="仿宋"/>
              </w:rPr>
            </w:pPr>
          </w:p>
        </w:tc>
        <w:tc>
          <w:tcPr>
            <w:tcW w:w="1079" w:type="dxa"/>
            <w:vAlign w:val="center"/>
          </w:tcPr>
          <w:p>
            <w:pPr>
              <w:jc w:val="center"/>
              <w:rPr>
                <w:rFonts w:ascii="仿宋" w:hAnsi="仿宋" w:eastAsia="仿宋"/>
                <w:szCs w:val="21"/>
              </w:rPr>
            </w:pPr>
            <w:r>
              <w:rPr>
                <w:rFonts w:hint="eastAsia" w:ascii="仿宋" w:hAnsi="仿宋" w:eastAsia="仿宋"/>
                <w:szCs w:val="21"/>
                <w:lang w:val="en-US" w:eastAsia="zh-CN"/>
              </w:rPr>
              <w:t>13%</w:t>
            </w:r>
          </w:p>
        </w:tc>
        <w:tc>
          <w:tcPr>
            <w:tcW w:w="1810"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jc w:val="center"/>
              <w:rPr>
                <w:rFonts w:hint="default" w:ascii="仿宋" w:hAnsi="仿宋" w:eastAsia="仿宋"/>
                <w:szCs w:val="21"/>
                <w:lang w:val="en-US" w:eastAsia="zh-CN"/>
              </w:rPr>
            </w:pPr>
            <w:r>
              <w:rPr>
                <w:rFonts w:hint="eastAsia" w:ascii="仿宋" w:hAnsi="仿宋" w:eastAsia="仿宋"/>
                <w:szCs w:val="21"/>
                <w:lang w:val="en-US" w:eastAsia="zh-CN"/>
              </w:rPr>
              <w:t>4</w:t>
            </w:r>
          </w:p>
        </w:tc>
        <w:tc>
          <w:tcPr>
            <w:tcW w:w="72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铝滑触线、铝芯绝缘线、铝方板</w:t>
            </w:r>
          </w:p>
        </w:tc>
        <w:tc>
          <w:tcPr>
            <w:tcW w:w="871"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吨</w:t>
            </w:r>
          </w:p>
        </w:tc>
        <w:tc>
          <w:tcPr>
            <w:tcW w:w="1281" w:type="dxa"/>
            <w:vAlign w:val="center"/>
          </w:tcPr>
          <w:p>
            <w:pPr>
              <w:keepNext w:val="0"/>
              <w:keepLines w:val="0"/>
              <w:widowControl/>
              <w:suppressLineNumbers w:val="0"/>
              <w:jc w:val="center"/>
              <w:textAlignment w:val="center"/>
              <w:rPr>
                <w:rFonts w:hint="default"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2"/>
                <w:sz w:val="22"/>
                <w:szCs w:val="22"/>
                <w:u w:val="none"/>
                <w:lang w:val="en-US" w:eastAsia="zh-CN" w:bidi="ar-SA"/>
              </w:rPr>
              <w:t>1</w:t>
            </w:r>
          </w:p>
        </w:tc>
        <w:tc>
          <w:tcPr>
            <w:tcW w:w="1248" w:type="dxa"/>
            <w:vAlign w:val="center"/>
          </w:tcPr>
          <w:p>
            <w:pPr>
              <w:jc w:val="center"/>
              <w:rPr>
                <w:rFonts w:ascii="仿宋" w:hAnsi="仿宋" w:eastAsia="仿宋" w:cs="宋体"/>
                <w:sz w:val="22"/>
                <w:szCs w:val="22"/>
              </w:rPr>
            </w:pPr>
          </w:p>
        </w:tc>
        <w:tc>
          <w:tcPr>
            <w:tcW w:w="1221" w:type="dxa"/>
            <w:gridSpan w:val="2"/>
            <w:vAlign w:val="center"/>
          </w:tcPr>
          <w:p>
            <w:pPr>
              <w:spacing w:line="360" w:lineRule="auto"/>
              <w:jc w:val="center"/>
              <w:rPr>
                <w:rFonts w:ascii="仿宋" w:hAnsi="仿宋" w:eastAsia="仿宋"/>
              </w:rPr>
            </w:pPr>
          </w:p>
        </w:tc>
        <w:tc>
          <w:tcPr>
            <w:tcW w:w="1079" w:type="dxa"/>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13%</w:t>
            </w:r>
          </w:p>
        </w:tc>
        <w:tc>
          <w:tcPr>
            <w:tcW w:w="1810" w:type="dxa"/>
            <w:vAlign w:val="center"/>
          </w:tcPr>
          <w:p>
            <w:pPr>
              <w:jc w:val="center"/>
              <w:rPr>
                <w:rFonts w:ascii="仿宋" w:hAnsi="仿宋" w:eastAsia="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09" w:type="dxa"/>
            <w:vAlign w:val="center"/>
          </w:tcPr>
          <w:p>
            <w:pPr>
              <w:jc w:val="center"/>
              <w:rPr>
                <w:rFonts w:ascii="仿宋" w:hAnsi="仿宋" w:eastAsia="仿宋"/>
                <w:b/>
                <w:bCs/>
                <w:szCs w:val="21"/>
                <w:highlight w:val="yellow"/>
              </w:rPr>
            </w:pPr>
          </w:p>
        </w:tc>
        <w:tc>
          <w:tcPr>
            <w:tcW w:w="7232" w:type="dxa"/>
            <w:vAlign w:val="center"/>
          </w:tcPr>
          <w:p>
            <w:pPr>
              <w:jc w:val="center"/>
              <w:rPr>
                <w:rFonts w:ascii="仿宋" w:hAnsi="仿宋" w:eastAsia="仿宋" w:cs="宋体"/>
                <w:b/>
                <w:bCs/>
                <w:kern w:val="0"/>
                <w:szCs w:val="21"/>
                <w:highlight w:val="none"/>
              </w:rPr>
            </w:pPr>
            <w:r>
              <w:rPr>
                <w:rFonts w:hint="eastAsia" w:ascii="仿宋" w:hAnsi="仿宋" w:eastAsia="仿宋" w:cs="仿宋_GB2312"/>
                <w:b/>
                <w:bCs/>
                <w:szCs w:val="21"/>
                <w:highlight w:val="none"/>
              </w:rPr>
              <w:t>合计总金额</w:t>
            </w:r>
            <w:r>
              <w:rPr>
                <w:rFonts w:hint="eastAsia" w:ascii="仿宋" w:hAnsi="仿宋" w:eastAsia="仿宋" w:cs="仿宋_GB2312"/>
                <w:b/>
                <w:bCs/>
                <w:szCs w:val="21"/>
                <w:highlight w:val="none"/>
                <w:lang w:eastAsia="zh-CN"/>
              </w:rPr>
              <w:t>（</w:t>
            </w:r>
            <w:r>
              <w:rPr>
                <w:rFonts w:hint="eastAsia" w:ascii="仿宋" w:hAnsi="仿宋" w:eastAsia="仿宋" w:cs="仿宋_GB2312"/>
                <w:b/>
                <w:bCs/>
                <w:szCs w:val="21"/>
                <w:highlight w:val="none"/>
                <w:lang w:val="en-US" w:eastAsia="zh-CN"/>
              </w:rPr>
              <w:t>人民币</w:t>
            </w:r>
            <w:r>
              <w:rPr>
                <w:rFonts w:hint="eastAsia" w:ascii="仿宋" w:hAnsi="仿宋" w:eastAsia="仿宋" w:cs="仿宋_GB2312"/>
                <w:b/>
                <w:bCs/>
                <w:szCs w:val="21"/>
                <w:highlight w:val="none"/>
                <w:lang w:eastAsia="zh-CN"/>
              </w:rPr>
              <w:t>）</w:t>
            </w:r>
          </w:p>
        </w:tc>
        <w:tc>
          <w:tcPr>
            <w:tcW w:w="871" w:type="dxa"/>
            <w:vAlign w:val="center"/>
          </w:tcPr>
          <w:p>
            <w:pPr>
              <w:jc w:val="center"/>
              <w:rPr>
                <w:rFonts w:ascii="仿宋" w:hAnsi="仿宋" w:eastAsia="仿宋" w:cs="仿宋"/>
                <w:b/>
                <w:bCs/>
                <w:szCs w:val="21"/>
                <w:highlight w:val="none"/>
              </w:rPr>
            </w:pPr>
            <w:r>
              <w:rPr>
                <w:rFonts w:hint="eastAsia" w:ascii="仿宋" w:hAnsi="仿宋" w:eastAsia="仿宋" w:cs="仿宋"/>
                <w:b/>
                <w:bCs/>
                <w:szCs w:val="21"/>
                <w:highlight w:val="none"/>
              </w:rPr>
              <w:t>元</w:t>
            </w:r>
          </w:p>
        </w:tc>
        <w:tc>
          <w:tcPr>
            <w:tcW w:w="1281" w:type="dxa"/>
            <w:vAlign w:val="center"/>
          </w:tcPr>
          <w:p>
            <w:pPr>
              <w:jc w:val="center"/>
              <w:rPr>
                <w:rFonts w:ascii="仿宋" w:hAnsi="仿宋" w:eastAsia="仿宋" w:cs="仿宋"/>
                <w:b/>
                <w:bCs/>
                <w:szCs w:val="21"/>
                <w:highlight w:val="yellow"/>
              </w:rPr>
            </w:pPr>
          </w:p>
        </w:tc>
        <w:tc>
          <w:tcPr>
            <w:tcW w:w="1248" w:type="dxa"/>
            <w:vAlign w:val="center"/>
          </w:tcPr>
          <w:p>
            <w:pPr>
              <w:jc w:val="center"/>
              <w:rPr>
                <w:rFonts w:ascii="仿宋" w:hAnsi="仿宋" w:eastAsia="仿宋"/>
                <w:b/>
                <w:bCs/>
                <w:szCs w:val="21"/>
              </w:rPr>
            </w:pPr>
          </w:p>
        </w:tc>
        <w:tc>
          <w:tcPr>
            <w:tcW w:w="1221" w:type="dxa"/>
            <w:gridSpan w:val="2"/>
            <w:vAlign w:val="center"/>
          </w:tcPr>
          <w:p>
            <w:pPr>
              <w:jc w:val="center"/>
              <w:rPr>
                <w:rFonts w:ascii="仿宋" w:hAnsi="仿宋" w:eastAsia="仿宋"/>
                <w:b/>
                <w:bCs/>
                <w:szCs w:val="21"/>
              </w:rPr>
            </w:pPr>
          </w:p>
        </w:tc>
        <w:tc>
          <w:tcPr>
            <w:tcW w:w="1079" w:type="dxa"/>
            <w:vAlign w:val="center"/>
          </w:tcPr>
          <w:p>
            <w:pPr>
              <w:jc w:val="center"/>
              <w:rPr>
                <w:rFonts w:ascii="仿宋" w:hAnsi="仿宋" w:eastAsia="仿宋"/>
                <w:b/>
                <w:bCs/>
                <w:szCs w:val="21"/>
              </w:rPr>
            </w:pPr>
          </w:p>
        </w:tc>
        <w:tc>
          <w:tcPr>
            <w:tcW w:w="1810"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15451" w:type="dxa"/>
            <w:gridSpan w:val="9"/>
            <w:vAlign w:val="center"/>
          </w:tcPr>
          <w:p>
            <w:pPr>
              <w:ind w:left="1129" w:leftChars="138" w:hanging="840" w:hangingChars="400"/>
            </w:pPr>
            <w:r>
              <w:rPr>
                <w:rFonts w:hint="eastAsia"/>
              </w:rPr>
              <w:t>说明：</w:t>
            </w:r>
            <w:r>
              <w:rPr>
                <w:rFonts w:hint="eastAsia"/>
                <w:lang w:val="en-US" w:eastAsia="zh-CN"/>
              </w:rPr>
              <w:t xml:space="preserve"> </w:t>
            </w:r>
            <w:r>
              <w:rPr>
                <w:rFonts w:hint="eastAsia"/>
              </w:rPr>
              <w:t>1、此报价表中带＊号为必填项，投标人的报价单除法定代表人和授权委托人签名手写以外，其他填写内容均为打印件加盖投标人公章。</w:t>
            </w:r>
          </w:p>
          <w:p>
            <w:pPr>
              <w:numPr>
                <w:ilvl w:val="0"/>
                <w:numId w:val="5"/>
              </w:numPr>
              <w:ind w:firstLine="1050" w:firstLineChars="500"/>
              <w:jc w:val="left"/>
              <w:rPr>
                <w:rFonts w:hint="eastAsia"/>
                <w:lang w:val="en-US" w:eastAsia="zh-CN"/>
              </w:rPr>
            </w:pPr>
            <w:r>
              <w:rPr>
                <w:rFonts w:hint="eastAsia"/>
                <w:lang w:val="en-US" w:eastAsia="zh-CN"/>
              </w:rPr>
              <w:t>此数量为预估量，实际以我单位铜陵铜冠建安新型环保科技有限公司过磅单为准。</w:t>
            </w:r>
          </w:p>
          <w:p>
            <w:pPr>
              <w:pStyle w:val="2"/>
              <w:numPr>
                <w:ilvl w:val="0"/>
                <w:numId w:val="0"/>
              </w:numPr>
              <w:rPr>
                <w:rFonts w:hint="default"/>
                <w:lang w:val="en-US" w:eastAsia="zh-CN"/>
              </w:rPr>
            </w:pPr>
            <w:r>
              <w:rPr>
                <w:rFonts w:hint="eastAsia"/>
                <w:lang w:val="en-US" w:eastAsia="zh-CN"/>
              </w:rPr>
              <w:t xml:space="preserve">          3、各投标单位须于2022年12月24日前前往现场查看，联系人：徐苑（13856252433）。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941" w:type="dxa"/>
            <w:gridSpan w:val="2"/>
            <w:vMerge w:val="restart"/>
            <w:vAlign w:val="center"/>
          </w:tcPr>
          <w:p>
            <w:pPr>
              <w:rPr>
                <w:rFonts w:ascii="仿宋" w:hAnsi="仿宋" w:eastAsia="仿宋"/>
                <w:sz w:val="24"/>
              </w:rPr>
            </w:pPr>
            <w:r>
              <w:rPr>
                <w:rFonts w:hint="eastAsia" w:ascii="仿宋" w:hAnsi="仿宋" w:eastAsia="仿宋" w:cs="宋体"/>
                <w:sz w:val="24"/>
              </w:rPr>
              <w:t>投标单位（公章）</w:t>
            </w:r>
          </w:p>
        </w:tc>
        <w:tc>
          <w:tcPr>
            <w:tcW w:w="3853" w:type="dxa"/>
            <w:gridSpan w:val="4"/>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941" w:type="dxa"/>
            <w:gridSpan w:val="2"/>
            <w:vMerge w:val="continue"/>
            <w:vAlign w:val="center"/>
          </w:tcPr>
          <w:p>
            <w:pPr>
              <w:rPr>
                <w:rFonts w:ascii="仿宋" w:hAnsi="仿宋" w:eastAsia="仿宋"/>
                <w:sz w:val="24"/>
              </w:rPr>
            </w:pPr>
          </w:p>
        </w:tc>
        <w:tc>
          <w:tcPr>
            <w:tcW w:w="2152"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7941" w:type="dxa"/>
            <w:gridSpan w:val="2"/>
            <w:vMerge w:val="continue"/>
            <w:vAlign w:val="center"/>
          </w:tcPr>
          <w:p>
            <w:pPr>
              <w:rPr>
                <w:rFonts w:ascii="仿宋" w:hAnsi="仿宋" w:eastAsia="仿宋"/>
                <w:sz w:val="24"/>
              </w:rPr>
            </w:pPr>
          </w:p>
        </w:tc>
        <w:tc>
          <w:tcPr>
            <w:tcW w:w="2152" w:type="dxa"/>
            <w:gridSpan w:val="2"/>
            <w:vMerge w:val="continue"/>
            <w:vAlign w:val="center"/>
          </w:tcPr>
          <w:p>
            <w:pPr>
              <w:jc w:val="center"/>
              <w:rPr>
                <w:rFonts w:ascii="仿宋" w:hAnsi="仿宋" w:eastAsia="仿宋"/>
                <w:sz w:val="24"/>
              </w:rPr>
            </w:pP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pStyle w:val="2"/>
        <w:ind w:left="0" w:leftChars="0" w:firstLine="0" w:firstLineChars="0"/>
        <w:rPr>
          <w:rFonts w:hint="default"/>
          <w:lang w:val="en-US" w:eastAsia="zh-CN"/>
        </w:rPr>
      </w:pPr>
    </w:p>
    <w:p>
      <w:pPr>
        <w:pStyle w:val="2"/>
        <w:ind w:left="0" w:leftChars="0" w:firstLine="0" w:firstLineChars="0"/>
        <w:rPr>
          <w:rFonts w:ascii="仿宋" w:hAnsi="仿宋" w:eastAsia="仿宋"/>
        </w:rPr>
      </w:pPr>
      <w:bookmarkStart w:id="0" w:name="_GoBack"/>
      <w:bookmarkEnd w:id="0"/>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4A56B4"/>
    <w:multiLevelType w:val="singleLevel"/>
    <w:tmpl w:val="B74A56B4"/>
    <w:lvl w:ilvl="0" w:tentative="0">
      <w:start w:val="1"/>
      <w:numFmt w:val="decimal"/>
      <w:suff w:val="nothing"/>
      <w:lvlText w:val="%1、"/>
      <w:lvlJc w:val="left"/>
    </w:lvl>
  </w:abstractNum>
  <w:abstractNum w:abstractNumId="1">
    <w:nsid w:val="BC294912"/>
    <w:multiLevelType w:val="singleLevel"/>
    <w:tmpl w:val="BC294912"/>
    <w:lvl w:ilvl="0" w:tentative="0">
      <w:start w:val="2"/>
      <w:numFmt w:val="decimal"/>
      <w:suff w:val="nothing"/>
      <w:lvlText w:val="%1、"/>
      <w:lvlJc w:val="left"/>
    </w:lvl>
  </w:abstractNum>
  <w:abstractNum w:abstractNumId="2">
    <w:nsid w:val="C0D94047"/>
    <w:multiLevelType w:val="singleLevel"/>
    <w:tmpl w:val="C0D94047"/>
    <w:lvl w:ilvl="0" w:tentative="0">
      <w:start w:val="1"/>
      <w:numFmt w:val="decimal"/>
      <w:suff w:val="nothing"/>
      <w:lvlText w:val="%1、"/>
      <w:lvlJc w:val="left"/>
    </w:lvl>
  </w:abstractNum>
  <w:abstractNum w:abstractNumId="3">
    <w:nsid w:val="D283E9F8"/>
    <w:multiLevelType w:val="singleLevel"/>
    <w:tmpl w:val="D283E9F8"/>
    <w:lvl w:ilvl="0" w:tentative="0">
      <w:start w:val="6"/>
      <w:numFmt w:val="decimal"/>
      <w:suff w:val="nothing"/>
      <w:lvlText w:val="%1、"/>
      <w:lvlJc w:val="left"/>
    </w:lvl>
  </w:abstractNum>
  <w:abstractNum w:abstractNumId="4">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NTAwNGI5NGU4MjY1MmYwNTViNmIzOWFjNTkxNzQifQ=="/>
    <w:docVar w:name="KSO_WPS_MARK_KEY" w:val="0a0499a0-cfd1-40bc-98fc-247ba99143c0"/>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7A053B"/>
    <w:rsid w:val="19D977BD"/>
    <w:rsid w:val="1A3D518B"/>
    <w:rsid w:val="1AF159E2"/>
    <w:rsid w:val="1B59783C"/>
    <w:rsid w:val="1BB44FC0"/>
    <w:rsid w:val="1BBF797C"/>
    <w:rsid w:val="1DEE2CCA"/>
    <w:rsid w:val="1E021478"/>
    <w:rsid w:val="1FB3349A"/>
    <w:rsid w:val="2037683E"/>
    <w:rsid w:val="217A6EBF"/>
    <w:rsid w:val="21A606D7"/>
    <w:rsid w:val="22235530"/>
    <w:rsid w:val="223E7710"/>
    <w:rsid w:val="23037269"/>
    <w:rsid w:val="241E0AF1"/>
    <w:rsid w:val="25590EC9"/>
    <w:rsid w:val="25696966"/>
    <w:rsid w:val="26A26CEB"/>
    <w:rsid w:val="299D4A4C"/>
    <w:rsid w:val="2A142B72"/>
    <w:rsid w:val="2A1902C2"/>
    <w:rsid w:val="2AB020F1"/>
    <w:rsid w:val="2B3838B3"/>
    <w:rsid w:val="2B7C43C1"/>
    <w:rsid w:val="2B9D46F7"/>
    <w:rsid w:val="2BE80223"/>
    <w:rsid w:val="2C995D0F"/>
    <w:rsid w:val="2D3E7816"/>
    <w:rsid w:val="2DB17430"/>
    <w:rsid w:val="2E5604C6"/>
    <w:rsid w:val="2E8E540F"/>
    <w:rsid w:val="302E3043"/>
    <w:rsid w:val="30D974B7"/>
    <w:rsid w:val="332A3196"/>
    <w:rsid w:val="333663C1"/>
    <w:rsid w:val="336F7BD6"/>
    <w:rsid w:val="343C1399"/>
    <w:rsid w:val="34634E47"/>
    <w:rsid w:val="346848DB"/>
    <w:rsid w:val="354F3A99"/>
    <w:rsid w:val="357B16F3"/>
    <w:rsid w:val="36050FAB"/>
    <w:rsid w:val="37982514"/>
    <w:rsid w:val="38826B3B"/>
    <w:rsid w:val="38E8156C"/>
    <w:rsid w:val="3989643E"/>
    <w:rsid w:val="39A55246"/>
    <w:rsid w:val="3A1C63DD"/>
    <w:rsid w:val="3A3173ED"/>
    <w:rsid w:val="3A5A156F"/>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5D4936"/>
    <w:rsid w:val="5B726C86"/>
    <w:rsid w:val="5BE9165E"/>
    <w:rsid w:val="5C1E1084"/>
    <w:rsid w:val="5D9408DF"/>
    <w:rsid w:val="5EDA5F53"/>
    <w:rsid w:val="5EE01EF7"/>
    <w:rsid w:val="5F57581B"/>
    <w:rsid w:val="5F76235B"/>
    <w:rsid w:val="5FAE5456"/>
    <w:rsid w:val="60F035C2"/>
    <w:rsid w:val="625A046D"/>
    <w:rsid w:val="630C0E11"/>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3CD0716"/>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12</Pages>
  <Words>3663</Words>
  <Characters>4043</Characters>
  <Lines>32</Lines>
  <Paragraphs>9</Paragraphs>
  <TotalTime>18</TotalTime>
  <ScaleCrop>false</ScaleCrop>
  <LinksUpToDate>false</LinksUpToDate>
  <CharactersWithSpaces>4142</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Lenovo</cp:lastModifiedBy>
  <cp:lastPrinted>2021-11-01T06:13:00Z</cp:lastPrinted>
  <dcterms:modified xsi:type="dcterms:W3CDTF">2022-12-21T00:11:31Z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B6E41D5046CE467D9EA38F81366E7D49</vt:lpwstr>
  </property>
</Properties>
</file>