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
          <w:sz w:val="52"/>
          <w:szCs w:val="52"/>
        </w:rPr>
      </w:pPr>
      <w:r>
        <w:rPr>
          <w:rFonts w:hint="eastAsia" w:ascii="仿宋_GB2312" w:eastAsia="仿宋_GB2312"/>
          <w:sz w:val="28"/>
          <w:szCs w:val="28"/>
        </w:rPr>
        <w:t xml:space="preserve">　                           </w:t>
      </w:r>
      <w:r>
        <w:rPr>
          <w:rFonts w:hint="eastAsia" w:eastAsia="黑体"/>
          <w:b/>
          <w:sz w:val="52"/>
          <w:szCs w:val="52"/>
        </w:rPr>
        <w:t>技 术 协 议</w:t>
      </w:r>
    </w:p>
    <w:p>
      <w:pPr>
        <w:tabs>
          <w:tab w:val="left" w:pos="1845"/>
        </w:tabs>
        <w:spacing w:line="360" w:lineRule="auto"/>
        <w:ind w:firstLine="420" w:firstLineChars="200"/>
      </w:pPr>
    </w:p>
    <w:p>
      <w:pPr>
        <w:spacing w:line="480" w:lineRule="exact"/>
        <w:jc w:val="center"/>
        <w:rPr>
          <w:rFonts w:hint="eastAsia" w:ascii="宋体" w:hAnsi="宋体"/>
          <w:b/>
          <w:bCs/>
          <w:sz w:val="30"/>
          <w:szCs w:val="30"/>
        </w:rPr>
      </w:pPr>
      <w:r>
        <w:rPr>
          <w:rFonts w:hint="eastAsia" w:ascii="宋体" w:hAnsi="宋体"/>
          <w:b/>
          <w:bCs/>
          <w:sz w:val="30"/>
          <w:szCs w:val="30"/>
        </w:rPr>
        <w:t>第一条  技术要求及更改</w:t>
      </w:r>
    </w:p>
    <w:p>
      <w:pPr>
        <w:tabs>
          <w:tab w:val="left" w:pos="1845"/>
        </w:tabs>
        <w:spacing w:line="480" w:lineRule="exact"/>
        <w:ind w:left="315" w:hanging="315" w:hangingChars="150"/>
        <w:rPr>
          <w:rFonts w:hint="eastAsia"/>
        </w:rPr>
      </w:pPr>
      <w:r>
        <w:rPr>
          <w:rFonts w:hint="eastAsia"/>
        </w:rPr>
        <w:t>1、供方应严格按双方共同确认的本协议的技术参数组织生产并供给需方产品；</w:t>
      </w:r>
    </w:p>
    <w:p>
      <w:pPr>
        <w:tabs>
          <w:tab w:val="left" w:pos="1845"/>
        </w:tabs>
        <w:spacing w:line="480" w:lineRule="exact"/>
        <w:ind w:left="315" w:hanging="315" w:hangingChars="150"/>
        <w:rPr>
          <w:rFonts w:hint="eastAsia"/>
        </w:rPr>
      </w:pPr>
      <w:r>
        <w:rPr>
          <w:rFonts w:hint="eastAsia"/>
        </w:rPr>
        <w:t>2、供方不得自行改变双方共同确认的本协议中的技术参数，如确实需要更改应事先征得需方同意。否则，由供方承担全部责任和损失；</w:t>
      </w:r>
    </w:p>
    <w:p>
      <w:pPr>
        <w:tabs>
          <w:tab w:val="left" w:pos="1845"/>
        </w:tabs>
        <w:spacing w:line="480" w:lineRule="exact"/>
        <w:ind w:left="315" w:hanging="315" w:hangingChars="150"/>
        <w:rPr>
          <w:rFonts w:hint="eastAsia"/>
        </w:rPr>
      </w:pPr>
      <w:r>
        <w:rPr>
          <w:rFonts w:hint="eastAsia"/>
        </w:rPr>
        <w:t>3、如果需方决定实施技术更改，需方应在订货的产品制造过程中及时将技术更改通知供方，供方应按更改后的技术要求制造订货的产品。</w:t>
      </w:r>
    </w:p>
    <w:p>
      <w:pPr>
        <w:spacing w:line="480" w:lineRule="exact"/>
        <w:jc w:val="center"/>
        <w:rPr>
          <w:rFonts w:ascii="宋体" w:hAnsi="宋体"/>
          <w:b/>
          <w:bCs/>
          <w:sz w:val="30"/>
          <w:szCs w:val="30"/>
        </w:rPr>
      </w:pPr>
    </w:p>
    <w:p>
      <w:pPr>
        <w:spacing w:line="480" w:lineRule="exact"/>
        <w:jc w:val="center"/>
        <w:rPr>
          <w:rFonts w:hint="eastAsia" w:ascii="宋体" w:hAnsi="宋体"/>
          <w:b/>
          <w:bCs/>
          <w:sz w:val="30"/>
          <w:szCs w:val="30"/>
        </w:rPr>
      </w:pPr>
      <w:r>
        <w:rPr>
          <w:rFonts w:hint="eastAsia" w:ascii="宋体" w:hAnsi="宋体"/>
          <w:b/>
          <w:bCs/>
          <w:sz w:val="30"/>
          <w:szCs w:val="30"/>
        </w:rPr>
        <w:t>第二条  产品质量</w:t>
      </w:r>
    </w:p>
    <w:p>
      <w:pPr>
        <w:tabs>
          <w:tab w:val="left" w:pos="1845"/>
        </w:tabs>
        <w:spacing w:line="480" w:lineRule="exact"/>
        <w:ind w:left="315" w:hanging="315" w:hangingChars="150"/>
        <w:rPr>
          <w:rFonts w:hint="eastAsia"/>
        </w:rPr>
      </w:pPr>
      <w:r>
        <w:rPr>
          <w:rFonts w:hint="eastAsia"/>
        </w:rPr>
        <w:t>1、供方必须保证产品在生产制造过程中达到需方规定的质量要求并检测合格。</w:t>
      </w:r>
    </w:p>
    <w:p>
      <w:pPr>
        <w:tabs>
          <w:tab w:val="left" w:pos="1845"/>
        </w:tabs>
        <w:spacing w:line="480" w:lineRule="exact"/>
        <w:ind w:left="315" w:hanging="315" w:hangingChars="150"/>
        <w:rPr>
          <w:rFonts w:hint="eastAsia"/>
        </w:rPr>
      </w:pPr>
      <w:r>
        <w:t>2</w:t>
      </w:r>
      <w:r>
        <w:rPr>
          <w:rFonts w:hint="eastAsia"/>
        </w:rPr>
        <w:t>、如果供方的生产场地、生产工艺、材料或配套厂商发生了改变，应及时书面报告需方。</w:t>
      </w:r>
    </w:p>
    <w:p>
      <w:pPr>
        <w:spacing w:line="480" w:lineRule="exact"/>
        <w:jc w:val="center"/>
        <w:rPr>
          <w:rFonts w:ascii="宋体" w:hAnsi="宋体"/>
          <w:b/>
          <w:bCs/>
          <w:sz w:val="30"/>
          <w:szCs w:val="30"/>
        </w:rPr>
      </w:pPr>
    </w:p>
    <w:p>
      <w:pPr>
        <w:spacing w:line="480" w:lineRule="exact"/>
        <w:jc w:val="center"/>
        <w:rPr>
          <w:rFonts w:ascii="宋体" w:hAnsi="宋体"/>
          <w:b/>
          <w:bCs/>
          <w:sz w:val="30"/>
          <w:szCs w:val="30"/>
        </w:rPr>
      </w:pPr>
      <w:r>
        <w:rPr>
          <w:rFonts w:hint="eastAsia" w:ascii="宋体" w:hAnsi="宋体"/>
          <w:b/>
          <w:bCs/>
          <w:sz w:val="30"/>
          <w:szCs w:val="30"/>
        </w:rPr>
        <w:t>第三条 详细供货清单</w:t>
      </w:r>
    </w:p>
    <w:p>
      <w:pPr>
        <w:pStyle w:val="2"/>
        <w:rPr>
          <w:rFonts w:hint="eastAsia"/>
        </w:rPr>
      </w:pPr>
    </w:p>
    <w:tbl>
      <w:tblPr>
        <w:tblStyle w:val="5"/>
        <w:tblW w:w="4301" w:type="pct"/>
        <w:jc w:val="center"/>
        <w:tblLayout w:type="autofit"/>
        <w:tblCellMar>
          <w:top w:w="0" w:type="dxa"/>
          <w:left w:w="108" w:type="dxa"/>
          <w:bottom w:w="0" w:type="dxa"/>
          <w:right w:w="108" w:type="dxa"/>
        </w:tblCellMar>
      </w:tblPr>
      <w:tblGrid>
        <w:gridCol w:w="678"/>
        <w:gridCol w:w="3541"/>
        <w:gridCol w:w="856"/>
        <w:gridCol w:w="3336"/>
      </w:tblGrid>
      <w:tr>
        <w:tblPrEx>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pPr>
            <w:r>
              <w:rPr>
                <w:rFonts w:hint="eastAsia"/>
              </w:rPr>
              <w:t>序号</w:t>
            </w:r>
          </w:p>
        </w:tc>
        <w:tc>
          <w:tcPr>
            <w:tcW w:w="2105" w:type="pct"/>
            <w:tcBorders>
              <w:top w:val="single" w:color="auto" w:sz="4" w:space="0"/>
              <w:left w:val="nil"/>
              <w:bottom w:val="single" w:color="auto" w:sz="4" w:space="0"/>
              <w:right w:val="single" w:color="auto" w:sz="4" w:space="0"/>
            </w:tcBorders>
            <w:vAlign w:val="center"/>
          </w:tcPr>
          <w:p>
            <w:pPr>
              <w:spacing w:line="440" w:lineRule="exact"/>
              <w:jc w:val="center"/>
            </w:pPr>
            <w:r>
              <w:rPr>
                <w:rFonts w:hint="eastAsia"/>
              </w:rPr>
              <w:t>设备名称</w:t>
            </w:r>
          </w:p>
        </w:tc>
        <w:tc>
          <w:tcPr>
            <w:tcW w:w="509" w:type="pct"/>
            <w:tcBorders>
              <w:top w:val="single" w:color="auto" w:sz="4" w:space="0"/>
              <w:left w:val="nil"/>
              <w:bottom w:val="single" w:color="auto" w:sz="4" w:space="0"/>
              <w:right w:val="single" w:color="auto" w:sz="4" w:space="0"/>
            </w:tcBorders>
            <w:vAlign w:val="center"/>
          </w:tcPr>
          <w:p>
            <w:pPr>
              <w:spacing w:line="440" w:lineRule="exact"/>
              <w:jc w:val="center"/>
            </w:pPr>
            <w:r>
              <w:rPr>
                <w:rFonts w:hint="eastAsia"/>
              </w:rPr>
              <w:t>数量</w:t>
            </w:r>
          </w:p>
        </w:tc>
        <w:tc>
          <w:tcPr>
            <w:tcW w:w="1984" w:type="pct"/>
            <w:tcBorders>
              <w:top w:val="single" w:color="auto" w:sz="4" w:space="0"/>
              <w:left w:val="nil"/>
              <w:bottom w:val="single" w:color="auto" w:sz="4" w:space="0"/>
              <w:right w:val="single" w:color="auto" w:sz="4" w:space="0"/>
            </w:tcBorders>
            <w:vAlign w:val="center"/>
          </w:tcPr>
          <w:p>
            <w:pPr>
              <w:spacing w:line="440" w:lineRule="exact"/>
              <w:jc w:val="center"/>
            </w:pPr>
            <w:r>
              <w:rPr>
                <w:rFonts w:hint="eastAsia"/>
              </w:rPr>
              <w:t>备注</w:t>
            </w:r>
          </w:p>
        </w:tc>
      </w:tr>
      <w:tr>
        <w:tblPrEx>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pPr>
            <w:r>
              <w:rPr>
                <w:rFonts w:hint="eastAsia"/>
              </w:rPr>
              <w:t>1</w:t>
            </w:r>
          </w:p>
        </w:tc>
        <w:tc>
          <w:tcPr>
            <w:tcW w:w="2105" w:type="pct"/>
            <w:tcBorders>
              <w:top w:val="single" w:color="auto" w:sz="4" w:space="0"/>
              <w:left w:val="nil"/>
              <w:bottom w:val="single" w:color="auto" w:sz="4" w:space="0"/>
              <w:right w:val="single" w:color="auto" w:sz="4" w:space="0"/>
            </w:tcBorders>
            <w:vAlign w:val="center"/>
          </w:tcPr>
          <w:p>
            <w:pPr>
              <w:spacing w:line="440" w:lineRule="exact"/>
              <w:jc w:val="center"/>
              <w:rPr>
                <w:rFonts w:hint="eastAsia"/>
              </w:rPr>
            </w:pPr>
            <w:r>
              <w:rPr>
                <w:rFonts w:hint="eastAsia"/>
              </w:rPr>
              <w:t>深锥底流控制系统</w:t>
            </w:r>
          </w:p>
        </w:tc>
        <w:tc>
          <w:tcPr>
            <w:tcW w:w="509" w:type="pct"/>
            <w:tcBorders>
              <w:top w:val="single" w:color="auto" w:sz="4" w:space="0"/>
              <w:left w:val="nil"/>
              <w:bottom w:val="single" w:color="auto" w:sz="4" w:space="0"/>
              <w:right w:val="single" w:color="auto" w:sz="4" w:space="0"/>
            </w:tcBorders>
            <w:vAlign w:val="center"/>
          </w:tcPr>
          <w:p>
            <w:pPr>
              <w:spacing w:line="440" w:lineRule="exact"/>
              <w:jc w:val="center"/>
            </w:pPr>
            <w:r>
              <w:rPr>
                <w:rFonts w:hint="eastAsia"/>
              </w:rPr>
              <w:t>1套</w:t>
            </w:r>
          </w:p>
        </w:tc>
        <w:tc>
          <w:tcPr>
            <w:tcW w:w="1984" w:type="pct"/>
            <w:tcBorders>
              <w:top w:val="single" w:color="auto" w:sz="4" w:space="0"/>
              <w:left w:val="nil"/>
              <w:bottom w:val="single" w:color="auto" w:sz="4" w:space="0"/>
              <w:right w:val="single" w:color="auto" w:sz="4" w:space="0"/>
            </w:tcBorders>
            <w:vAlign w:val="center"/>
          </w:tcPr>
          <w:p>
            <w:pPr>
              <w:spacing w:line="440" w:lineRule="exact"/>
              <w:jc w:val="center"/>
              <w:rPr>
                <w:rFonts w:hint="eastAsia"/>
              </w:rPr>
            </w:pPr>
            <w:r>
              <w:rPr>
                <w:rFonts w:hint="eastAsia"/>
              </w:rPr>
              <w:t>沙溪一期浓密机深锥系统改造</w:t>
            </w:r>
          </w:p>
        </w:tc>
      </w:tr>
    </w:tbl>
    <w:p>
      <w:pPr>
        <w:spacing w:line="480" w:lineRule="exact"/>
        <w:jc w:val="center"/>
        <w:rPr>
          <w:rFonts w:ascii="宋体" w:hAnsi="宋体"/>
          <w:b/>
          <w:bCs/>
          <w:sz w:val="30"/>
          <w:szCs w:val="30"/>
        </w:rPr>
      </w:pPr>
    </w:p>
    <w:p>
      <w:pPr>
        <w:spacing w:line="480" w:lineRule="exact"/>
        <w:jc w:val="center"/>
        <w:rPr>
          <w:rFonts w:ascii="宋体" w:hAnsi="宋体"/>
          <w:b/>
          <w:bCs/>
          <w:sz w:val="30"/>
          <w:szCs w:val="30"/>
        </w:rPr>
      </w:pPr>
      <w:r>
        <w:rPr>
          <w:rFonts w:hint="eastAsia" w:ascii="宋体" w:hAnsi="宋体"/>
          <w:b/>
          <w:bCs/>
          <w:sz w:val="30"/>
          <w:szCs w:val="30"/>
        </w:rPr>
        <w:t>第四</w:t>
      </w:r>
      <w:r>
        <w:rPr>
          <w:rFonts w:ascii="宋体" w:hAnsi="宋体"/>
          <w:b/>
          <w:bCs/>
          <w:sz w:val="30"/>
          <w:szCs w:val="30"/>
        </w:rPr>
        <w:t>条</w:t>
      </w:r>
      <w:r>
        <w:rPr>
          <w:rFonts w:hint="eastAsia" w:ascii="宋体" w:hAnsi="宋体"/>
          <w:b/>
          <w:bCs/>
          <w:sz w:val="30"/>
          <w:szCs w:val="30"/>
        </w:rPr>
        <w:t xml:space="preserve"> 系统技术要求</w:t>
      </w:r>
    </w:p>
    <w:p>
      <w:pPr>
        <w:numPr>
          <w:ilvl w:val="0"/>
          <w:numId w:val="1"/>
        </w:numPr>
        <w:rPr>
          <w:rFonts w:ascii="宋体" w:hAnsi="宋体" w:cs="宋体"/>
          <w:sz w:val="28"/>
          <w:szCs w:val="28"/>
        </w:rPr>
      </w:pPr>
      <w:r>
        <w:rPr>
          <w:rFonts w:hint="eastAsia" w:ascii="黑体" w:hAnsi="黑体" w:eastAsia="黑体"/>
          <w:sz w:val="24"/>
        </w:rPr>
        <w:t>总述</w:t>
      </w:r>
    </w:p>
    <w:p>
      <w:pPr>
        <w:spacing w:line="360" w:lineRule="auto"/>
        <w:ind w:firstLine="420" w:firstLineChars="200"/>
      </w:pPr>
      <w:r>
        <w:rPr>
          <w:rFonts w:hint="eastAsia"/>
        </w:rPr>
        <w:t>整体改造方案为单独建议一套充填控制系统，用于将深锥底流的高浓度尾砂输送至充填站。主要控制元件包含以下几个管路系统：</w:t>
      </w:r>
      <w:r>
        <w:br w:type="textWrapping"/>
      </w:r>
      <w:r>
        <w:t xml:space="preserve">    1</w:t>
      </w:r>
      <w:r>
        <w:rPr>
          <w:rFonts w:hint="eastAsia"/>
        </w:rPr>
        <w:t>）充填输送泵及管路相关阀门、仪表等；</w:t>
      </w:r>
    </w:p>
    <w:p>
      <w:pPr>
        <w:spacing w:line="360" w:lineRule="auto"/>
        <w:ind w:firstLine="420" w:firstLineChars="200"/>
      </w:pPr>
      <w:r>
        <w:rPr>
          <w:rFonts w:hint="eastAsia"/>
        </w:rPr>
        <w:t>2）备用充填输送泵及管路相关阀门、仪表等；</w:t>
      </w:r>
    </w:p>
    <w:p>
      <w:pPr>
        <w:spacing w:line="360" w:lineRule="auto"/>
        <w:ind w:firstLine="420" w:firstLineChars="200"/>
        <w:rPr>
          <w:rFonts w:ascii="黑体" w:hAnsi="黑体" w:eastAsia="黑体"/>
          <w:sz w:val="24"/>
        </w:rPr>
      </w:pPr>
      <w:r>
        <w:rPr>
          <w:rFonts w:hint="eastAsia"/>
        </w:rPr>
        <w:t>3）稀释水泵及管路相关阀门、仪表等。</w:t>
      </w:r>
    </w:p>
    <w:p>
      <w:pPr>
        <w:rPr>
          <w:rFonts w:ascii="黑体" w:hAnsi="黑体" w:eastAsia="黑体"/>
          <w:sz w:val="24"/>
        </w:rPr>
      </w:pPr>
    </w:p>
    <w:p>
      <w:pPr>
        <w:numPr>
          <w:ilvl w:val="0"/>
          <w:numId w:val="1"/>
        </w:numPr>
        <w:rPr>
          <w:rFonts w:ascii="黑体" w:hAnsi="黑体" w:eastAsia="黑体"/>
          <w:sz w:val="24"/>
        </w:rPr>
      </w:pPr>
      <w:r>
        <w:rPr>
          <w:rFonts w:hint="eastAsia" w:ascii="黑体" w:hAnsi="黑体" w:eastAsia="黑体"/>
          <w:sz w:val="24"/>
        </w:rPr>
        <w:t>控制系统框架</w:t>
      </w:r>
    </w:p>
    <w:p>
      <w:pPr>
        <w:spacing w:line="360" w:lineRule="auto"/>
        <w:ind w:firstLine="420" w:firstLineChars="200"/>
        <w:rPr>
          <w:rFonts w:hint="eastAsia"/>
        </w:rPr>
      </w:pPr>
      <w:r>
        <w:rPr>
          <w:rFonts w:hint="eastAsia"/>
        </w:rPr>
        <w:t>该方案控制系统框架图如下，深锥系统的尾砂输送管路、备用尾砂输送管路及剪切循环管路的控制保留在原P</w:t>
      </w:r>
      <w:r>
        <w:t>LC</w:t>
      </w:r>
      <w:r>
        <w:rPr>
          <w:rFonts w:hint="eastAsia"/>
        </w:rPr>
        <w:t>不变，将充填输送管路、备用充填输送管路及稀释管路的控制转移至新增充填控制系统P</w:t>
      </w:r>
      <w:r>
        <w:t>LC</w:t>
      </w:r>
      <w:r>
        <w:rPr>
          <w:rFonts w:hint="eastAsia"/>
        </w:rPr>
        <w:t>，控制箱配触摸屏可实现就地监控，并将新增控制系统兼并至现有中控室的上位机进行远程监控。</w:t>
      </w:r>
    </w:p>
    <w:p>
      <w:pPr>
        <w:jc w:val="center"/>
        <w:rPr>
          <w:rFonts w:ascii="黑体" w:hAnsi="黑体" w:eastAsia="黑体"/>
          <w:sz w:val="24"/>
        </w:rPr>
      </w:pPr>
      <w:r>
        <w:drawing>
          <wp:inline distT="0" distB="0" distL="0" distR="0">
            <wp:extent cx="5924550" cy="3886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24550" cy="3886200"/>
                    </a:xfrm>
                    <a:prstGeom prst="rect">
                      <a:avLst/>
                    </a:prstGeom>
                    <a:noFill/>
                    <a:ln>
                      <a:noFill/>
                    </a:ln>
                  </pic:spPr>
                </pic:pic>
              </a:graphicData>
            </a:graphic>
          </wp:inline>
        </w:drawing>
      </w:r>
    </w:p>
    <w:p>
      <w:pPr>
        <w:numPr>
          <w:ilvl w:val="0"/>
          <w:numId w:val="1"/>
        </w:numPr>
        <w:rPr>
          <w:rFonts w:ascii="黑体" w:hAnsi="黑体" w:eastAsia="黑体"/>
          <w:sz w:val="24"/>
        </w:rPr>
      </w:pPr>
      <w:r>
        <w:rPr>
          <w:rFonts w:hint="eastAsia" w:ascii="黑体" w:hAnsi="黑体" w:eastAsia="黑体"/>
          <w:sz w:val="24"/>
        </w:rPr>
        <w:t>实施</w:t>
      </w:r>
    </w:p>
    <w:p>
      <w:pPr>
        <w:spacing w:line="360" w:lineRule="auto"/>
        <w:ind w:firstLine="420" w:firstLineChars="200"/>
      </w:pPr>
      <w:r>
        <w:rPr>
          <w:rFonts w:hint="eastAsia"/>
        </w:rPr>
        <w:t>1）新增P</w:t>
      </w:r>
      <w:r>
        <w:t>LC</w:t>
      </w:r>
      <w:r>
        <w:rPr>
          <w:rFonts w:hint="eastAsia"/>
        </w:rPr>
        <w:t>控制柜1套，配置清单如下</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26"/>
        <w:gridCol w:w="3118"/>
        <w:gridCol w:w="709"/>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序号</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名称</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型号/规格</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数量</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单位</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PLC柜体</w:t>
            </w:r>
          </w:p>
        </w:tc>
        <w:tc>
          <w:tcPr>
            <w:tcW w:w="3118" w:type="dxa"/>
            <w:shd w:val="clear" w:color="auto" w:fill="auto"/>
            <w:vAlign w:val="center"/>
          </w:tcPr>
          <w:p>
            <w:pPr>
              <w:jc w:val="center"/>
              <w:rPr>
                <w:rFonts w:hint="eastAsia" w:ascii="黑体" w:hAnsi="黑体" w:eastAsia="黑体"/>
                <w:sz w:val="24"/>
              </w:rPr>
            </w:pPr>
            <w:bookmarkStart w:id="0" w:name="OLE_LINK1"/>
            <w:r>
              <w:rPr>
                <w:rFonts w:hint="eastAsia" w:ascii="等线" w:hAnsi="等线" w:eastAsia="等线" w:cs="宋体"/>
                <w:color w:val="000000"/>
                <w:kern w:val="0"/>
                <w:sz w:val="22"/>
                <w:szCs w:val="22"/>
              </w:rPr>
              <w:t>800*1000*250</w:t>
            </w:r>
            <w:bookmarkEnd w:id="0"/>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台</w:t>
            </w:r>
          </w:p>
        </w:tc>
        <w:tc>
          <w:tcPr>
            <w:tcW w:w="1134" w:type="dxa"/>
            <w:shd w:val="clear" w:color="auto" w:fill="auto"/>
            <w:vAlign w:val="center"/>
          </w:tcPr>
          <w:p>
            <w:pPr>
              <w:jc w:val="center"/>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2</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触摸屏</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TPC1031Ni</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昆仑通态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3</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CPU</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CPU 1214C</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4</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数字输入/输出模块</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SM 1221 DI 16/</w:t>
            </w:r>
            <w:r>
              <w:rPr>
                <w:rFonts w:ascii="等线" w:hAnsi="等线" w:eastAsia="等线" w:cs="宋体"/>
                <w:color w:val="000000"/>
                <w:kern w:val="0"/>
                <w:sz w:val="22"/>
                <w:szCs w:val="22"/>
              </w:rPr>
              <w:t>DQ16</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5</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模拟输入模块</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SM 1231 AI 8x13 位</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6</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模拟输出模块</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SM 1232 AQ 4x14 位</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7</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插座</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EA9XN210</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8</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断路器</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IC65N C10A 2P</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5</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9</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继电器</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RXM2AB2BD+RXZE1M2C</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26</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套</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10</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开关电源</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EDR-150-24</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明纬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11</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浪涌保护器</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IPRU 20 2P</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12</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信号隔离器</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4-20mA信号隔离</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12</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13</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交换机</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5口交换机</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个</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14</w:t>
            </w:r>
          </w:p>
        </w:tc>
        <w:tc>
          <w:tcPr>
            <w:tcW w:w="2126" w:type="dxa"/>
            <w:shd w:val="clear" w:color="auto" w:fill="auto"/>
          </w:tcPr>
          <w:p>
            <w:pPr>
              <w:jc w:val="center"/>
              <w:rPr>
                <w:rFonts w:hint="eastAsia" w:ascii="黑体" w:hAnsi="黑体" w:eastAsia="黑体"/>
                <w:sz w:val="24"/>
              </w:rPr>
            </w:pPr>
            <w:r>
              <w:rPr>
                <w:rFonts w:hint="eastAsia" w:ascii="等线" w:hAnsi="等线" w:eastAsia="等线" w:cs="宋体"/>
                <w:color w:val="000000"/>
                <w:kern w:val="0"/>
                <w:sz w:val="22"/>
                <w:szCs w:val="22"/>
              </w:rPr>
              <w:t>辅材</w:t>
            </w:r>
          </w:p>
        </w:tc>
        <w:tc>
          <w:tcPr>
            <w:tcW w:w="3118" w:type="dxa"/>
            <w:shd w:val="clear" w:color="auto" w:fill="auto"/>
          </w:tcPr>
          <w:p>
            <w:pPr>
              <w:jc w:val="center"/>
              <w:rPr>
                <w:rFonts w:hint="eastAsia" w:ascii="黑体" w:hAnsi="黑体" w:eastAsia="黑体"/>
                <w:sz w:val="24"/>
              </w:rPr>
            </w:pPr>
            <w:r>
              <w:rPr>
                <w:rFonts w:hint="eastAsia" w:ascii="等线" w:hAnsi="等线" w:eastAsia="等线" w:cs="宋体"/>
                <w:color w:val="000000"/>
                <w:kern w:val="0"/>
                <w:sz w:val="22"/>
                <w:szCs w:val="22"/>
              </w:rPr>
              <w:t>接线端子、铜塑线等</w:t>
            </w:r>
          </w:p>
        </w:tc>
        <w:tc>
          <w:tcPr>
            <w:tcW w:w="709" w:type="dxa"/>
            <w:shd w:val="clear" w:color="auto" w:fill="auto"/>
          </w:tcPr>
          <w:p>
            <w:pPr>
              <w:jc w:val="center"/>
              <w:rPr>
                <w:rFonts w:hint="eastAsia" w:ascii="黑体" w:hAnsi="黑体" w:eastAsia="黑体"/>
                <w:sz w:val="24"/>
              </w:rPr>
            </w:pPr>
            <w:r>
              <w:rPr>
                <w:rFonts w:hint="eastAsia" w:ascii="等线" w:hAnsi="等线" w:eastAsia="等线" w:cs="宋体"/>
                <w:color w:val="000000"/>
                <w:kern w:val="0"/>
                <w:sz w:val="22"/>
                <w:szCs w:val="22"/>
              </w:rPr>
              <w:t>1</w:t>
            </w:r>
          </w:p>
        </w:tc>
        <w:tc>
          <w:tcPr>
            <w:tcW w:w="992" w:type="dxa"/>
            <w:shd w:val="clear" w:color="auto" w:fill="auto"/>
          </w:tcPr>
          <w:p>
            <w:pPr>
              <w:jc w:val="center"/>
              <w:rPr>
                <w:rFonts w:hint="eastAsia" w:ascii="黑体" w:hAnsi="黑体" w:eastAsia="黑体"/>
                <w:sz w:val="24"/>
              </w:rPr>
            </w:pPr>
            <w:r>
              <w:rPr>
                <w:rFonts w:hint="eastAsia" w:ascii="等线" w:hAnsi="等线" w:eastAsia="等线" w:cs="宋体"/>
                <w:color w:val="000000"/>
                <w:kern w:val="0"/>
                <w:sz w:val="22"/>
                <w:szCs w:val="22"/>
              </w:rPr>
              <w:t>套</w:t>
            </w:r>
          </w:p>
        </w:tc>
        <w:tc>
          <w:tcPr>
            <w:tcW w:w="1134" w:type="dxa"/>
            <w:shd w:val="clear" w:color="auto" w:fill="auto"/>
          </w:tcPr>
          <w:p>
            <w:pPr>
              <w:jc w:val="center"/>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5</w:t>
            </w:r>
          </w:p>
        </w:tc>
        <w:tc>
          <w:tcPr>
            <w:tcW w:w="2126" w:type="dxa"/>
            <w:shd w:val="clear" w:color="auto" w:fill="auto"/>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成套</w:t>
            </w:r>
          </w:p>
        </w:tc>
        <w:tc>
          <w:tcPr>
            <w:tcW w:w="3118" w:type="dxa"/>
            <w:shd w:val="clear" w:color="auto" w:fill="auto"/>
          </w:tcPr>
          <w:p>
            <w:pPr>
              <w:jc w:val="center"/>
              <w:rPr>
                <w:rFonts w:hint="eastAsia" w:ascii="等线" w:hAnsi="等线" w:eastAsia="等线" w:cs="宋体"/>
                <w:color w:val="000000"/>
                <w:kern w:val="0"/>
                <w:sz w:val="22"/>
                <w:szCs w:val="22"/>
              </w:rPr>
            </w:pPr>
          </w:p>
        </w:tc>
        <w:tc>
          <w:tcPr>
            <w:tcW w:w="709" w:type="dxa"/>
            <w:shd w:val="clear" w:color="auto" w:fill="auto"/>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992" w:type="dxa"/>
            <w:shd w:val="clear" w:color="auto" w:fill="auto"/>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1134" w:type="dxa"/>
            <w:shd w:val="clear" w:color="auto" w:fill="auto"/>
          </w:tcPr>
          <w:p>
            <w:pPr>
              <w:jc w:val="center"/>
              <w:rPr>
                <w:rFonts w:hint="eastAsia" w:ascii="等线" w:hAnsi="等线" w:eastAsia="等线" w:cs="宋体"/>
                <w:color w:val="000000"/>
                <w:kern w:val="0"/>
                <w:sz w:val="22"/>
                <w:szCs w:val="22"/>
              </w:rPr>
            </w:pPr>
          </w:p>
        </w:tc>
      </w:tr>
    </w:tbl>
    <w:p>
      <w:pPr>
        <w:spacing w:line="360" w:lineRule="auto"/>
        <w:ind w:firstLine="420" w:firstLineChars="200"/>
      </w:pPr>
      <w:r>
        <w:rPr>
          <w:rFonts w:hint="eastAsia"/>
        </w:rPr>
        <w:t>2）施工</w:t>
      </w:r>
    </w:p>
    <w:p>
      <w:pPr>
        <w:spacing w:line="360" w:lineRule="auto"/>
        <w:ind w:firstLine="420" w:firstLineChars="200"/>
      </w:pPr>
      <w:r>
        <w:rPr>
          <w:rFonts w:hint="eastAsia"/>
        </w:rPr>
        <w:t>改造部分的控制元件（包含泵、阀门、仪表等）动力控制元件及线路利旧，新增P</w:t>
      </w:r>
      <w:r>
        <w:t>LC</w:t>
      </w:r>
      <w:r>
        <w:rPr>
          <w:rFonts w:hint="eastAsia"/>
        </w:rPr>
        <w:t>控制柜在原P</w:t>
      </w:r>
      <w:r>
        <w:t>LC</w:t>
      </w:r>
      <w:r>
        <w:rPr>
          <w:rFonts w:hint="eastAsia"/>
        </w:rPr>
        <w:t>控制柜附近，将控制信号从原P</w:t>
      </w:r>
      <w:r>
        <w:t>LC</w:t>
      </w:r>
      <w:r>
        <w:rPr>
          <w:rFonts w:hint="eastAsia"/>
        </w:rPr>
        <w:t>控制柜接入新增P</w:t>
      </w:r>
      <w:r>
        <w:t>LC</w:t>
      </w:r>
      <w:r>
        <w:rPr>
          <w:rFonts w:hint="eastAsia"/>
        </w:rPr>
        <w:t>控制柜。</w:t>
      </w:r>
      <w:r>
        <w:t xml:space="preserve"> </w:t>
      </w:r>
    </w:p>
    <w:p>
      <w:pPr>
        <w:spacing w:line="360" w:lineRule="auto"/>
        <w:ind w:firstLine="420" w:firstLineChars="200"/>
        <w:rPr>
          <w:rFonts w:hint="eastAsia"/>
        </w:rPr>
      </w:pPr>
      <w:r>
        <w:t>3</w:t>
      </w:r>
      <w:r>
        <w:rPr>
          <w:rFonts w:hint="eastAsia"/>
        </w:rPr>
        <w:t>）程序及软件</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26"/>
        <w:gridCol w:w="3118"/>
        <w:gridCol w:w="709"/>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序号</w:t>
            </w:r>
          </w:p>
        </w:tc>
        <w:tc>
          <w:tcPr>
            <w:tcW w:w="2126"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名称</w:t>
            </w:r>
          </w:p>
        </w:tc>
        <w:tc>
          <w:tcPr>
            <w:tcW w:w="3118"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型号/规格</w:t>
            </w:r>
          </w:p>
        </w:tc>
        <w:tc>
          <w:tcPr>
            <w:tcW w:w="709"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数量</w:t>
            </w:r>
          </w:p>
        </w:tc>
        <w:tc>
          <w:tcPr>
            <w:tcW w:w="992"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单位</w:t>
            </w:r>
          </w:p>
        </w:tc>
        <w:tc>
          <w:tcPr>
            <w:tcW w:w="1134" w:type="dxa"/>
            <w:shd w:val="clear" w:color="auto" w:fill="auto"/>
            <w:vAlign w:val="center"/>
          </w:tcPr>
          <w:p>
            <w:pPr>
              <w:jc w:val="center"/>
              <w:rPr>
                <w:rFonts w:hint="eastAsia" w:ascii="黑体" w:hAnsi="黑体" w:eastAsia="黑体"/>
                <w:sz w:val="24"/>
              </w:rPr>
            </w:pPr>
            <w:r>
              <w:rPr>
                <w:rFonts w:hint="eastAsia" w:ascii="等线" w:hAnsi="等线" w:eastAsia="等线"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vAlign w:val="center"/>
          </w:tcPr>
          <w:p>
            <w:pPr>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1</w:t>
            </w:r>
          </w:p>
        </w:tc>
        <w:tc>
          <w:tcPr>
            <w:tcW w:w="2126"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P</w:t>
            </w:r>
            <w:r>
              <w:rPr>
                <w:rFonts w:ascii="等线" w:hAnsi="等线" w:eastAsia="等线" w:cs="宋体"/>
                <w:color w:val="000000"/>
                <w:kern w:val="0"/>
                <w:sz w:val="22"/>
                <w:szCs w:val="22"/>
              </w:rPr>
              <w:t>LC</w:t>
            </w:r>
            <w:r>
              <w:rPr>
                <w:rFonts w:hint="eastAsia" w:ascii="等线" w:hAnsi="等线" w:eastAsia="等线" w:cs="宋体"/>
                <w:color w:val="000000"/>
                <w:kern w:val="0"/>
                <w:sz w:val="22"/>
                <w:szCs w:val="22"/>
              </w:rPr>
              <w:t>程序</w:t>
            </w:r>
          </w:p>
        </w:tc>
        <w:tc>
          <w:tcPr>
            <w:tcW w:w="3118" w:type="dxa"/>
            <w:shd w:val="clear" w:color="auto" w:fill="auto"/>
            <w:vAlign w:val="center"/>
          </w:tcPr>
          <w:p>
            <w:pPr>
              <w:jc w:val="center"/>
              <w:rPr>
                <w:rFonts w:hint="eastAsia" w:ascii="等线" w:hAnsi="等线" w:eastAsia="等线" w:cs="宋体"/>
                <w:color w:val="000000"/>
                <w:kern w:val="0"/>
                <w:sz w:val="22"/>
                <w:szCs w:val="22"/>
              </w:rPr>
            </w:pPr>
          </w:p>
        </w:tc>
        <w:tc>
          <w:tcPr>
            <w:tcW w:w="709"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1134" w:type="dxa"/>
            <w:shd w:val="clear" w:color="auto" w:fill="auto"/>
            <w:vAlign w:val="center"/>
          </w:tcPr>
          <w:p>
            <w:pPr>
              <w:jc w:val="center"/>
              <w:rPr>
                <w:rFonts w:hint="eastAsia" w:ascii="等线" w:hAnsi="等线" w:eastAsia="等线"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vAlign w:val="center"/>
          </w:tcPr>
          <w:p>
            <w:pPr>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2</w:t>
            </w:r>
          </w:p>
        </w:tc>
        <w:tc>
          <w:tcPr>
            <w:tcW w:w="2126"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触摸屏程序</w:t>
            </w:r>
          </w:p>
        </w:tc>
        <w:tc>
          <w:tcPr>
            <w:tcW w:w="3118"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用于现场监控</w:t>
            </w:r>
          </w:p>
        </w:tc>
        <w:tc>
          <w:tcPr>
            <w:tcW w:w="709"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1134" w:type="dxa"/>
            <w:shd w:val="clear" w:color="auto" w:fill="auto"/>
            <w:vAlign w:val="center"/>
          </w:tcPr>
          <w:p>
            <w:pPr>
              <w:jc w:val="center"/>
              <w:rPr>
                <w:rFonts w:hint="eastAsia" w:ascii="等线" w:hAnsi="等线" w:eastAsia="等线"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shd w:val="clear" w:color="auto" w:fill="auto"/>
            <w:vAlign w:val="center"/>
          </w:tcPr>
          <w:p>
            <w:pPr>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3</w:t>
            </w:r>
          </w:p>
        </w:tc>
        <w:tc>
          <w:tcPr>
            <w:tcW w:w="2126"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上位机程序</w:t>
            </w:r>
          </w:p>
        </w:tc>
        <w:tc>
          <w:tcPr>
            <w:tcW w:w="3118"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上位机软件利用原中控室wincc，仅在原上位机程序上修改改造部分</w:t>
            </w:r>
          </w:p>
        </w:tc>
        <w:tc>
          <w:tcPr>
            <w:tcW w:w="709"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992" w:type="dxa"/>
            <w:shd w:val="clear" w:color="auto" w:fill="auto"/>
            <w:vAlign w:val="center"/>
          </w:tcPr>
          <w:p>
            <w:pPr>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1134" w:type="dxa"/>
            <w:shd w:val="clear" w:color="auto" w:fill="auto"/>
            <w:vAlign w:val="center"/>
          </w:tcPr>
          <w:p>
            <w:pPr>
              <w:jc w:val="center"/>
              <w:rPr>
                <w:rFonts w:hint="eastAsia" w:ascii="等线" w:hAnsi="等线" w:eastAsia="等线" w:cs="宋体"/>
                <w:color w:val="000000"/>
                <w:kern w:val="0"/>
                <w:sz w:val="22"/>
                <w:szCs w:val="22"/>
              </w:rPr>
            </w:pPr>
          </w:p>
        </w:tc>
      </w:tr>
    </w:tbl>
    <w:p>
      <w:pPr>
        <w:pStyle w:val="12"/>
        <w:spacing w:line="440" w:lineRule="atLeast"/>
        <w:ind w:firstLineChars="0"/>
        <w:jc w:val="center"/>
        <w:rPr>
          <w:rFonts w:ascii="宋体" w:hAnsi="宋体" w:cs="仿宋"/>
          <w:b/>
          <w:sz w:val="32"/>
          <w:szCs w:val="32"/>
        </w:rPr>
      </w:pPr>
    </w:p>
    <w:p>
      <w:pPr>
        <w:spacing w:line="480" w:lineRule="exact"/>
        <w:jc w:val="center"/>
        <w:rPr>
          <w:rFonts w:ascii="宋体" w:hAnsi="宋体"/>
          <w:b/>
          <w:bCs/>
          <w:sz w:val="30"/>
          <w:szCs w:val="30"/>
        </w:rPr>
      </w:pPr>
      <w:r>
        <w:rPr>
          <w:rFonts w:hint="eastAsia" w:ascii="宋体" w:hAnsi="宋体"/>
          <w:b/>
          <w:bCs/>
          <w:sz w:val="30"/>
          <w:szCs w:val="30"/>
        </w:rPr>
        <w:t>第五</w:t>
      </w:r>
      <w:r>
        <w:rPr>
          <w:rFonts w:ascii="宋体" w:hAnsi="宋体"/>
          <w:b/>
          <w:bCs/>
          <w:sz w:val="30"/>
          <w:szCs w:val="30"/>
        </w:rPr>
        <w:t>条</w:t>
      </w:r>
      <w:r>
        <w:rPr>
          <w:rFonts w:hint="eastAsia" w:ascii="宋体" w:hAnsi="宋体"/>
          <w:b/>
          <w:bCs/>
          <w:sz w:val="30"/>
          <w:szCs w:val="30"/>
        </w:rPr>
        <w:t xml:space="preserve"> 检验及验收</w:t>
      </w:r>
    </w:p>
    <w:p>
      <w:pPr>
        <w:pStyle w:val="12"/>
        <w:spacing w:line="440" w:lineRule="atLeast"/>
        <w:ind w:firstLineChars="0"/>
        <w:rPr>
          <w:rFonts w:ascii="Times New Roman" w:hAnsi="Times New Roman"/>
        </w:rPr>
      </w:pPr>
      <w:r>
        <w:rPr>
          <w:rFonts w:ascii="Times New Roman" w:hAnsi="Times New Roman"/>
        </w:rPr>
        <w:t>1</w:t>
      </w:r>
      <w:r>
        <w:rPr>
          <w:rFonts w:hint="eastAsia" w:ascii="Times New Roman" w:hAnsi="Times New Roman"/>
        </w:rPr>
        <w:t>.供方负责设备运输至项目现场，供方提供的全部设备均按有关标准简易包装，以确保设备安全到达工地。任何因包装不妥所造成的损失，概由供方承担，包装物不回收。</w:t>
      </w:r>
    </w:p>
    <w:p>
      <w:pPr>
        <w:pStyle w:val="12"/>
        <w:spacing w:line="440" w:lineRule="atLeast"/>
        <w:ind w:firstLineChars="0"/>
        <w:rPr>
          <w:rFonts w:ascii="Times New Roman" w:hAnsi="Times New Roman"/>
        </w:rPr>
      </w:pPr>
      <w:r>
        <w:rPr>
          <w:rFonts w:ascii="Times New Roman" w:hAnsi="Times New Roman"/>
        </w:rPr>
        <w:t>2</w:t>
      </w:r>
      <w:r>
        <w:rPr>
          <w:rFonts w:hint="eastAsia" w:ascii="Times New Roman" w:hAnsi="Times New Roman"/>
        </w:rPr>
        <w:t>.供方提供免费技术服务及技术培训，负责委派有能力和称职的调试人员到现场指导安装。</w:t>
      </w:r>
    </w:p>
    <w:p>
      <w:pPr>
        <w:spacing w:line="480" w:lineRule="exact"/>
        <w:jc w:val="center"/>
        <w:rPr>
          <w:rFonts w:ascii="宋体" w:hAnsi="宋体"/>
          <w:b/>
          <w:bCs/>
          <w:sz w:val="30"/>
          <w:szCs w:val="30"/>
        </w:rPr>
      </w:pPr>
    </w:p>
    <w:p>
      <w:pPr>
        <w:spacing w:line="480" w:lineRule="exact"/>
        <w:jc w:val="center"/>
        <w:rPr>
          <w:rFonts w:ascii="宋体" w:hAnsi="宋体"/>
          <w:b/>
          <w:bCs/>
          <w:sz w:val="30"/>
          <w:szCs w:val="30"/>
        </w:rPr>
      </w:pPr>
      <w:r>
        <w:rPr>
          <w:rFonts w:hint="eastAsia" w:ascii="宋体" w:hAnsi="宋体"/>
          <w:b/>
          <w:bCs/>
          <w:sz w:val="30"/>
          <w:szCs w:val="30"/>
        </w:rPr>
        <w:t>第六</w:t>
      </w:r>
      <w:r>
        <w:rPr>
          <w:rFonts w:ascii="宋体" w:hAnsi="宋体"/>
          <w:b/>
          <w:bCs/>
          <w:sz w:val="30"/>
          <w:szCs w:val="30"/>
        </w:rPr>
        <w:t>条</w:t>
      </w:r>
      <w:r>
        <w:rPr>
          <w:rFonts w:hint="eastAsia" w:ascii="宋体" w:hAnsi="宋体"/>
          <w:b/>
          <w:bCs/>
          <w:sz w:val="30"/>
          <w:szCs w:val="30"/>
        </w:rPr>
        <w:t xml:space="preserve"> 交付资料及质量保证</w:t>
      </w:r>
    </w:p>
    <w:p>
      <w:pPr>
        <w:pStyle w:val="12"/>
        <w:spacing w:line="440" w:lineRule="atLeast"/>
        <w:ind w:firstLineChars="0"/>
        <w:rPr>
          <w:rFonts w:hint="eastAsia" w:ascii="Times New Roman" w:hAnsi="Times New Roman"/>
        </w:rPr>
      </w:pPr>
      <w:r>
        <w:rPr>
          <w:rFonts w:hint="eastAsia" w:ascii="Times New Roman" w:hAnsi="Times New Roman"/>
        </w:rPr>
        <w:t>1.交货验收时提供</w:t>
      </w:r>
      <w:r>
        <w:rPr>
          <w:rFonts w:ascii="Times New Roman" w:hAnsi="Times New Roman"/>
        </w:rPr>
        <w:t>电气原理图</w:t>
      </w:r>
      <w:r>
        <w:rPr>
          <w:rFonts w:hint="eastAsia" w:ascii="Times New Roman" w:hAnsi="Times New Roman"/>
        </w:rPr>
        <w:t>、电气接线图</w:t>
      </w:r>
      <w:r>
        <w:rPr>
          <w:rFonts w:ascii="Times New Roman" w:hAnsi="Times New Roman"/>
        </w:rPr>
        <w:t>。</w:t>
      </w:r>
    </w:p>
    <w:p>
      <w:pPr>
        <w:pStyle w:val="12"/>
        <w:spacing w:line="440" w:lineRule="atLeast"/>
        <w:ind w:firstLineChars="0"/>
        <w:rPr>
          <w:rFonts w:ascii="Times New Roman" w:hAnsi="Times New Roman"/>
        </w:rPr>
      </w:pPr>
      <w:r>
        <w:rPr>
          <w:rFonts w:ascii="Times New Roman" w:hAnsi="Times New Roman"/>
        </w:rPr>
        <w:t>2</w:t>
      </w:r>
      <w:r>
        <w:rPr>
          <w:rFonts w:hint="eastAsia" w:ascii="Times New Roman" w:hAnsi="Times New Roman"/>
        </w:rPr>
        <w:t>. 产品质量保证期为供方货到需方现场工地后，产品正常运行</w:t>
      </w:r>
      <w:r>
        <w:rPr>
          <w:rFonts w:ascii="Times New Roman" w:hAnsi="Times New Roman"/>
        </w:rPr>
        <w:t>80</w:t>
      </w:r>
      <w:r>
        <w:rPr>
          <w:rFonts w:hint="eastAsia" w:ascii="Times New Roman" w:hAnsi="Times New Roman"/>
        </w:rPr>
        <w:t>小时验收合格之日起</w:t>
      </w:r>
      <w:r>
        <w:rPr>
          <w:rFonts w:ascii="Times New Roman" w:hAnsi="Times New Roman"/>
        </w:rPr>
        <w:t>12</w:t>
      </w:r>
      <w:r>
        <w:rPr>
          <w:rFonts w:hint="eastAsia" w:ascii="Times New Roman" w:hAnsi="Times New Roman"/>
        </w:rPr>
        <w:t>个月或发货后</w:t>
      </w:r>
      <w:r>
        <w:rPr>
          <w:rFonts w:ascii="Times New Roman" w:hAnsi="Times New Roman"/>
        </w:rPr>
        <w:t>18</w:t>
      </w:r>
      <w:r>
        <w:rPr>
          <w:rFonts w:hint="eastAsia" w:ascii="Times New Roman" w:hAnsi="Times New Roman"/>
        </w:rPr>
        <w:t>个月，以先到为准。在质保期内，供方对由于工艺、设计、制造及材料的缺陷原因而发生的任何故障损坏或不能正常使用等质量问题负责，供方保证对设备及时更换、维修或退货，所涉及的有关费用由供方承担，供方在免费维修服务同时相应延长设备的质量保证期。易损件除外。</w:t>
      </w:r>
    </w:p>
    <w:p>
      <w:pPr>
        <w:pStyle w:val="12"/>
        <w:spacing w:line="440" w:lineRule="atLeast"/>
        <w:ind w:firstLineChars="0"/>
        <w:rPr>
          <w:rFonts w:hint="eastAsia" w:ascii="Times New Roman" w:hAnsi="Times New Roman"/>
        </w:rPr>
      </w:pPr>
      <w:r>
        <w:rPr>
          <w:rFonts w:ascii="Times New Roman" w:hAnsi="Times New Roman"/>
        </w:rPr>
        <w:t>3</w:t>
      </w:r>
      <w:r>
        <w:rPr>
          <w:rFonts w:hint="eastAsia" w:ascii="Times New Roman" w:hAnsi="Times New Roman"/>
        </w:rPr>
        <w:t>.对于系统故障，供方应在2小时内作出反应，重大问题供方应在当天安排技术人员赴现场解决。</w:t>
      </w:r>
    </w:p>
    <w:p>
      <w:pPr>
        <w:spacing w:line="480" w:lineRule="exact"/>
        <w:jc w:val="center"/>
        <w:rPr>
          <w:rFonts w:ascii="宋体" w:hAnsi="宋体"/>
          <w:b/>
          <w:bCs/>
          <w:sz w:val="30"/>
          <w:szCs w:val="30"/>
        </w:rPr>
      </w:pPr>
    </w:p>
    <w:p>
      <w:pPr>
        <w:spacing w:line="480" w:lineRule="exact"/>
        <w:jc w:val="center"/>
        <w:rPr>
          <w:rFonts w:hint="eastAsia" w:ascii="宋体" w:hAnsi="宋体"/>
          <w:b/>
          <w:bCs/>
          <w:sz w:val="30"/>
          <w:szCs w:val="30"/>
        </w:rPr>
      </w:pPr>
      <w:r>
        <w:rPr>
          <w:rFonts w:hint="eastAsia" w:ascii="宋体" w:hAnsi="宋体"/>
          <w:b/>
          <w:bCs/>
          <w:sz w:val="30"/>
          <w:szCs w:val="30"/>
        </w:rPr>
        <w:t>第七条 技术保密</w:t>
      </w:r>
    </w:p>
    <w:p>
      <w:pPr>
        <w:pStyle w:val="12"/>
        <w:spacing w:line="440" w:lineRule="atLeast"/>
        <w:ind w:firstLineChars="0"/>
        <w:rPr>
          <w:rFonts w:hint="eastAsia" w:ascii="Times New Roman" w:hAnsi="Times New Roman"/>
        </w:rPr>
      </w:pPr>
      <w:r>
        <w:rPr>
          <w:rFonts w:hint="eastAsia" w:ascii="Times New Roman" w:hAnsi="Times New Roman"/>
        </w:rPr>
        <w:t>1、需方提供的所有技术资料供方均应严格对第三方保密，对因泄密对需方造成的一切损失，供方应承担全部责任。</w:t>
      </w:r>
    </w:p>
    <w:p>
      <w:pPr>
        <w:spacing w:line="480" w:lineRule="exact"/>
        <w:jc w:val="center"/>
        <w:rPr>
          <w:rFonts w:ascii="宋体" w:hAnsi="宋体"/>
          <w:b/>
          <w:bCs/>
          <w:sz w:val="30"/>
          <w:szCs w:val="30"/>
        </w:rPr>
      </w:pPr>
    </w:p>
    <w:p>
      <w:pPr>
        <w:spacing w:line="480" w:lineRule="exact"/>
        <w:jc w:val="center"/>
        <w:rPr>
          <w:rFonts w:hint="eastAsia" w:ascii="宋体" w:hAnsi="宋体"/>
          <w:b/>
          <w:bCs/>
          <w:sz w:val="30"/>
          <w:szCs w:val="30"/>
        </w:rPr>
      </w:pPr>
      <w:r>
        <w:rPr>
          <w:rFonts w:hint="eastAsia" w:ascii="宋体" w:hAnsi="宋体"/>
          <w:b/>
          <w:bCs/>
          <w:sz w:val="30"/>
          <w:szCs w:val="30"/>
        </w:rPr>
        <w:t>第八条  协议期限</w:t>
      </w:r>
    </w:p>
    <w:p>
      <w:pPr>
        <w:pStyle w:val="12"/>
        <w:spacing w:line="440" w:lineRule="atLeast"/>
        <w:ind w:firstLineChars="0"/>
        <w:rPr>
          <w:rFonts w:hint="eastAsia" w:ascii="Times New Roman" w:hAnsi="Times New Roman"/>
        </w:rPr>
      </w:pPr>
      <w:r>
        <w:rPr>
          <w:rFonts w:hint="eastAsia" w:ascii="Times New Roman" w:hAnsi="Times New Roman"/>
        </w:rPr>
        <w:t xml:space="preserve">1、本协议经双方认可签字后即生效，协议期限为  壹  年，即  </w:t>
      </w:r>
      <w:r>
        <w:rPr>
          <w:rFonts w:ascii="Times New Roman" w:hAnsi="Times New Roman"/>
        </w:rPr>
        <w:t>2022</w:t>
      </w:r>
      <w:r>
        <w:rPr>
          <w:rFonts w:hint="eastAsia" w:ascii="Times New Roman" w:hAnsi="Times New Roman"/>
        </w:rPr>
        <w:t xml:space="preserve">  年  </w:t>
      </w:r>
      <w:r>
        <w:rPr>
          <w:rFonts w:ascii="Times New Roman" w:hAnsi="Times New Roman"/>
        </w:rPr>
        <w:t>12</w:t>
      </w:r>
      <w:r>
        <w:rPr>
          <w:rFonts w:hint="eastAsia" w:ascii="Times New Roman" w:hAnsi="Times New Roman"/>
        </w:rPr>
        <w:t xml:space="preserve"> 月 </w:t>
      </w:r>
      <w:r>
        <w:rPr>
          <w:rFonts w:ascii="Times New Roman" w:hAnsi="Times New Roman"/>
        </w:rPr>
        <w:t>6</w:t>
      </w:r>
      <w:r>
        <w:rPr>
          <w:rFonts w:hint="eastAsia" w:ascii="Times New Roman" w:hAnsi="Times New Roman"/>
        </w:rPr>
        <w:t xml:space="preserve">日至   </w:t>
      </w:r>
      <w:r>
        <w:rPr>
          <w:rFonts w:ascii="Times New Roman" w:hAnsi="Times New Roman"/>
        </w:rPr>
        <w:t>202</w:t>
      </w:r>
      <w:r>
        <w:rPr>
          <w:rFonts w:hint="eastAsia" w:ascii="Times New Roman" w:hAnsi="Times New Roman"/>
          <w:lang w:val="en-US" w:eastAsia="zh-CN"/>
        </w:rPr>
        <w:t>3</w:t>
      </w:r>
      <w:r>
        <w:rPr>
          <w:rFonts w:hint="eastAsia" w:ascii="Times New Roman" w:hAnsi="Times New Roman"/>
        </w:rPr>
        <w:t xml:space="preserve">  年  </w:t>
      </w:r>
      <w:r>
        <w:rPr>
          <w:rFonts w:ascii="Times New Roman" w:hAnsi="Times New Roman"/>
        </w:rPr>
        <w:t>12</w:t>
      </w:r>
      <w:r>
        <w:rPr>
          <w:rFonts w:hint="eastAsia" w:ascii="Times New Roman" w:hAnsi="Times New Roman"/>
        </w:rPr>
        <w:t xml:space="preserve">  月  </w:t>
      </w:r>
      <w:r>
        <w:rPr>
          <w:rFonts w:ascii="Times New Roman" w:hAnsi="Times New Roman"/>
        </w:rPr>
        <w:t>5</w:t>
      </w:r>
      <w:r>
        <w:rPr>
          <w:rFonts w:hint="eastAsia" w:ascii="Times New Roman" w:hAnsi="Times New Roman"/>
        </w:rPr>
        <w:t xml:space="preserve"> 日。</w:t>
      </w:r>
    </w:p>
    <w:p>
      <w:pPr>
        <w:pStyle w:val="12"/>
        <w:spacing w:line="440" w:lineRule="atLeast"/>
        <w:ind w:firstLineChars="0"/>
        <w:rPr>
          <w:rFonts w:hint="eastAsia" w:ascii="Times New Roman" w:hAnsi="Times New Roman"/>
        </w:rPr>
      </w:pPr>
      <w:r>
        <w:rPr>
          <w:rFonts w:hint="eastAsia" w:ascii="Times New Roman" w:hAnsi="Times New Roman"/>
        </w:rPr>
        <w:t>2、鉴于需方和供方合作的长期性和稳定性，在本协议期满后三个月内，如果任</w:t>
      </w:r>
    </w:p>
    <w:p>
      <w:pPr>
        <w:pStyle w:val="12"/>
        <w:spacing w:line="440" w:lineRule="atLeast"/>
        <w:ind w:firstLineChars="0"/>
        <w:rPr>
          <w:rFonts w:hint="eastAsia" w:ascii="Times New Roman" w:hAnsi="Times New Roman"/>
        </w:rPr>
      </w:pPr>
      <w:r>
        <w:rPr>
          <w:rFonts w:hint="eastAsia" w:ascii="Times New Roman" w:hAnsi="Times New Roman"/>
        </w:rPr>
        <w:t>何一方没提出终止本协议要求，则本协议随合同时间延长或终止。</w:t>
      </w:r>
    </w:p>
    <w:p>
      <w:pPr>
        <w:tabs>
          <w:tab w:val="left" w:pos="1845"/>
        </w:tabs>
        <w:spacing w:line="480" w:lineRule="exact"/>
        <w:ind w:left="420" w:hanging="420" w:hangingChars="150"/>
        <w:rPr>
          <w:rFonts w:hint="eastAsia" w:ascii="宋体" w:hAnsi="宋体"/>
          <w:sz w:val="28"/>
        </w:rPr>
      </w:pPr>
    </w:p>
    <w:p>
      <w:pPr>
        <w:spacing w:line="480" w:lineRule="exact"/>
        <w:jc w:val="center"/>
        <w:rPr>
          <w:rFonts w:hint="eastAsia" w:ascii="宋体" w:hAnsi="宋体"/>
          <w:b/>
          <w:bCs/>
          <w:sz w:val="30"/>
          <w:szCs w:val="30"/>
        </w:rPr>
      </w:pPr>
      <w:r>
        <w:rPr>
          <w:rFonts w:hint="eastAsia" w:ascii="宋体" w:hAnsi="宋体"/>
          <w:b/>
          <w:bCs/>
          <w:sz w:val="30"/>
          <w:szCs w:val="30"/>
        </w:rPr>
        <w:t>第九条  其它</w:t>
      </w:r>
    </w:p>
    <w:p>
      <w:pPr>
        <w:pStyle w:val="12"/>
        <w:spacing w:line="440" w:lineRule="atLeast"/>
        <w:ind w:firstLineChars="0"/>
        <w:rPr>
          <w:rFonts w:hint="eastAsia" w:ascii="Times New Roman" w:hAnsi="Times New Roman"/>
        </w:rPr>
      </w:pPr>
      <w:r>
        <w:rPr>
          <w:rFonts w:hint="eastAsia" w:ascii="Times New Roman" w:hAnsi="Times New Roman"/>
        </w:rPr>
        <w:t>1、本协议用中文制作签署原件贰份，经供、需双方共同确认和签字后生效</w:t>
      </w:r>
      <w:r>
        <w:rPr>
          <w:rFonts w:ascii="Times New Roman" w:hAnsi="Times New Roman"/>
        </w:rPr>
        <w:t>,</w:t>
      </w:r>
      <w:r>
        <w:rPr>
          <w:rFonts w:hint="eastAsia" w:ascii="Times New Roman" w:hAnsi="Times New Roman"/>
        </w:rPr>
        <w:t>作为订货合同的技术附件，与订货合同具有同等效力，由双方各执壹份。</w:t>
      </w:r>
    </w:p>
    <w:p>
      <w:pPr>
        <w:pStyle w:val="12"/>
        <w:spacing w:line="440" w:lineRule="atLeast"/>
        <w:ind w:firstLineChars="0"/>
        <w:rPr>
          <w:rFonts w:hint="eastAsia" w:ascii="Times New Roman" w:hAnsi="Times New Roman"/>
        </w:rPr>
      </w:pPr>
      <w:r>
        <w:rPr>
          <w:rFonts w:hint="eastAsia" w:ascii="Times New Roman" w:hAnsi="Times New Roman"/>
        </w:rPr>
        <w:t>2、本协议引起或与本协议有关的争议均应通过双方协商来解决。</w:t>
      </w:r>
    </w:p>
    <w:p>
      <w:pPr>
        <w:tabs>
          <w:tab w:val="left" w:pos="1845"/>
        </w:tabs>
        <w:spacing w:line="480" w:lineRule="exact"/>
        <w:ind w:left="420" w:hanging="420" w:hangingChars="150"/>
        <w:rPr>
          <w:rFonts w:hint="eastAsia" w:ascii="宋体" w:hAnsi="宋体"/>
          <w:color w:val="FF0000"/>
          <w:sz w:val="28"/>
        </w:rPr>
      </w:pPr>
    </w:p>
    <w:p>
      <w:pPr>
        <w:spacing w:line="580" w:lineRule="exact"/>
      </w:pPr>
      <w:r>
        <w:rPr>
          <w:rFonts w:hint="eastAsia" w:ascii="宋体" w:hAnsi="宋体"/>
          <w:sz w:val="28"/>
        </w:rPr>
        <w:t xml:space="preserve"> </w:t>
      </w:r>
    </w:p>
    <w:p/>
    <w:sectPr>
      <w:headerReference r:id="rId3" w:type="default"/>
      <w:footerReference r:id="rId4" w:type="default"/>
      <w:footerReference r:id="rId5" w:type="even"/>
      <w:pgSz w:w="11906" w:h="16838"/>
      <w:pgMar w:top="1134" w:right="1418" w:bottom="1134" w:left="926"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hint="eastAsia"/>
      </w:rPr>
    </w:pPr>
    <w:r>
      <w:rPr>
        <w:rStyle w:val="8"/>
        <w:rFonts w:hint="eastAsia"/>
      </w:rPr>
      <w:t>第</w:t>
    </w:r>
    <w:r>
      <w:fldChar w:fldCharType="begin"/>
    </w:r>
    <w:r>
      <w:rPr>
        <w:rStyle w:val="8"/>
      </w:rPr>
      <w:instrText xml:space="preserve"> PAGE </w:instrText>
    </w:r>
    <w:r>
      <w:fldChar w:fldCharType="separate"/>
    </w:r>
    <w:r>
      <w:rPr>
        <w:rStyle w:val="8"/>
      </w:rPr>
      <w:t>1</w:t>
    </w:r>
    <w:r>
      <w:fldChar w:fldCharType="end"/>
    </w:r>
    <w:r>
      <w:rPr>
        <w:rStyle w:val="8"/>
        <w:rFonts w:hint="eastAsia"/>
      </w:rPr>
      <w:t>页/共</w:t>
    </w:r>
    <w:r>
      <w:rPr>
        <w:rStyle w:val="8"/>
      </w:rPr>
      <w:t>4</w:t>
    </w:r>
    <w:r>
      <w:rPr>
        <w:rStyle w:val="8"/>
        <w:rFonts w:hint="eastAsia"/>
      </w:rPr>
      <w:t>页</w:t>
    </w:r>
  </w:p>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黑体" w:eastAsia="黑体"/>
        <w:b/>
        <w:sz w:val="21"/>
        <w:szCs w:val="21"/>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-18415</wp:posOffset>
              </wp:positionV>
              <wp:extent cx="1485900" cy="495300"/>
              <wp:effectExtent l="0" t="0" r="2540" b="190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45pt;height:39pt;width:117pt;z-index:251659264;mso-width-relative:page;mso-height-relative:page;" fillcolor="#FFFFFF" filled="t" stroked="f" coordsize="21600,21600" o:gfxdata="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dH7qzWAAAA&#10;BgEAAA8AAAAAAAAAAQAgAAAAIgAAAGRycy9kb3ducmV2LnhtbFBLAQIUABQAAAAIAIdO4kC7pPzX&#10;HwIAADEEAAAOAAAAAAAAAAEAIAAAACUBAABkcnMvZTJvRG9jLnhtbFBLBQYAAAAABgAGAFkBAAC2&#10;BQAAAAA=&#10;">
              <v:fill on="t" focussize="0,0"/>
              <v:stroke on="f"/>
              <v:imagedata o:title=""/>
              <o:lock v:ext="edit" aspectratio="f"/>
              <v:textbox>
                <w:txbxContent>
                  <w:p/>
                </w:txbxContent>
              </v:textbox>
            </v:rect>
          </w:pict>
        </mc:Fallback>
      </mc:AlternateConten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3229D"/>
    <w:multiLevelType w:val="multilevel"/>
    <w:tmpl w:val="3923229D"/>
    <w:lvl w:ilvl="0" w:tentative="0">
      <w:start w:val="1"/>
      <w:numFmt w:val="decimal"/>
      <w:lvlText w:val="%1."/>
      <w:lvlJc w:val="left"/>
      <w:pPr>
        <w:tabs>
          <w:tab w:val="left" w:pos="360"/>
        </w:tabs>
        <w:ind w:left="360" w:hanging="360"/>
      </w:pPr>
      <w:rPr>
        <w:rFonts w:hint="eastAsia" w:eastAsia="宋体"/>
        <w:kern w:val="2"/>
        <w:sz w:val="21"/>
      </w:rPr>
    </w:lvl>
    <w:lvl w:ilvl="1" w:tentative="0">
      <w:start w:val="1"/>
      <w:numFmt w:val="decimal"/>
      <w:isLgl/>
      <w:lvlText w:val="%2"/>
      <w:lvlJc w:val="left"/>
      <w:pPr>
        <w:tabs>
          <w:tab w:val="left" w:pos="1497"/>
        </w:tabs>
        <w:ind w:left="1497" w:hanging="720"/>
      </w:pPr>
      <w:rPr>
        <w:rFonts w:hint="default" w:ascii="Times New Roman" w:hAnsi="Times New Roman"/>
      </w:rPr>
    </w:lvl>
    <w:lvl w:ilvl="2" w:tentative="0">
      <w:start w:val="1"/>
      <w:numFmt w:val="decimal"/>
      <w:isLgl/>
      <w:lvlText w:val="%1.%2.%3"/>
      <w:lvlJc w:val="left"/>
      <w:pPr>
        <w:tabs>
          <w:tab w:val="left" w:pos="2274"/>
        </w:tabs>
        <w:ind w:left="2274" w:hanging="720"/>
      </w:pPr>
      <w:rPr>
        <w:rFonts w:hint="default"/>
      </w:rPr>
    </w:lvl>
    <w:lvl w:ilvl="3" w:tentative="0">
      <w:start w:val="1"/>
      <w:numFmt w:val="decimal"/>
      <w:isLgl/>
      <w:lvlText w:val="%1.%2.%3.%4"/>
      <w:lvlJc w:val="left"/>
      <w:pPr>
        <w:tabs>
          <w:tab w:val="left" w:pos="3411"/>
        </w:tabs>
        <w:ind w:left="3411" w:hanging="1080"/>
      </w:pPr>
      <w:rPr>
        <w:rFonts w:hint="default"/>
      </w:rPr>
    </w:lvl>
    <w:lvl w:ilvl="4" w:tentative="0">
      <w:start w:val="1"/>
      <w:numFmt w:val="decimal"/>
      <w:isLgl/>
      <w:lvlText w:val="%1.%2.%3.%4.%5"/>
      <w:lvlJc w:val="left"/>
      <w:pPr>
        <w:tabs>
          <w:tab w:val="left" w:pos="4548"/>
        </w:tabs>
        <w:ind w:left="4548" w:hanging="1440"/>
      </w:pPr>
      <w:rPr>
        <w:rFonts w:hint="default"/>
      </w:rPr>
    </w:lvl>
    <w:lvl w:ilvl="5" w:tentative="0">
      <w:start w:val="1"/>
      <w:numFmt w:val="decimal"/>
      <w:isLgl/>
      <w:lvlText w:val="%1.%2.%3.%4.%5.%6"/>
      <w:lvlJc w:val="left"/>
      <w:pPr>
        <w:tabs>
          <w:tab w:val="left" w:pos="5325"/>
        </w:tabs>
        <w:ind w:left="5325" w:hanging="1440"/>
      </w:pPr>
      <w:rPr>
        <w:rFonts w:hint="default"/>
      </w:rPr>
    </w:lvl>
    <w:lvl w:ilvl="6" w:tentative="0">
      <w:start w:val="1"/>
      <w:numFmt w:val="decimal"/>
      <w:isLgl/>
      <w:lvlText w:val="%1.%2.%3.%4.%5.%6.%7"/>
      <w:lvlJc w:val="left"/>
      <w:pPr>
        <w:tabs>
          <w:tab w:val="left" w:pos="6462"/>
        </w:tabs>
        <w:ind w:left="6462" w:hanging="1800"/>
      </w:pPr>
      <w:rPr>
        <w:rFonts w:hint="default"/>
      </w:rPr>
    </w:lvl>
    <w:lvl w:ilvl="7" w:tentative="0">
      <w:start w:val="1"/>
      <w:numFmt w:val="decimal"/>
      <w:isLgl/>
      <w:lvlText w:val="%1.%2.%3.%4.%5.%6.%7.%8"/>
      <w:lvlJc w:val="left"/>
      <w:pPr>
        <w:tabs>
          <w:tab w:val="left" w:pos="7239"/>
        </w:tabs>
        <w:ind w:left="7239" w:hanging="1800"/>
      </w:pPr>
      <w:rPr>
        <w:rFonts w:hint="default"/>
      </w:rPr>
    </w:lvl>
    <w:lvl w:ilvl="8" w:tentative="0">
      <w:start w:val="1"/>
      <w:numFmt w:val="decimal"/>
      <w:isLgl/>
      <w:lvlText w:val="%1.%2.%3.%4.%5.%6.%7.%8.%9"/>
      <w:lvlJc w:val="left"/>
      <w:pPr>
        <w:tabs>
          <w:tab w:val="left" w:pos="8376"/>
        </w:tabs>
        <w:ind w:left="83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MTYyY2Y3MjBlNmQxN2EwNjM5NWJkMDJmYmQ4MjMifQ=="/>
  </w:docVars>
  <w:rsids>
    <w:rsidRoot w:val="007D1C68"/>
    <w:rsid w:val="00050063"/>
    <w:rsid w:val="0017774B"/>
    <w:rsid w:val="004C5219"/>
    <w:rsid w:val="00534203"/>
    <w:rsid w:val="007D1C68"/>
    <w:rsid w:val="007F5A82"/>
    <w:rsid w:val="00B60BD0"/>
    <w:rsid w:val="00BC36BD"/>
    <w:rsid w:val="00D04B09"/>
    <w:rsid w:val="00DD2B12"/>
    <w:rsid w:val="00E51618"/>
    <w:rsid w:val="00F57E2F"/>
    <w:rsid w:val="584D65AC"/>
    <w:rsid w:val="7197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页脚 Char"/>
    <w:uiPriority w:val="0"/>
    <w:rPr>
      <w:kern w:val="2"/>
      <w:sz w:val="18"/>
      <w:szCs w:val="18"/>
    </w:rPr>
  </w:style>
  <w:style w:type="paragraph" w:customStyle="1" w:styleId="12">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1558</Words>
  <Characters>1709</Characters>
  <Lines>16</Lines>
  <Paragraphs>4</Paragraphs>
  <TotalTime>128</TotalTime>
  <ScaleCrop>false</ScaleCrop>
  <LinksUpToDate>false</LinksUpToDate>
  <CharactersWithSpaces>1800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2022-12-05T06:27:00Z</dcterms:created>
  <dc:creator>高 翔</dc:creator>
  <cp:lastModifiedBy>rjs</cp:lastModifiedBy>
  <dcterms:modified xsi:type="dcterms:W3CDTF">2023-01-10T01:20:18Z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3B5C778D567E4994A12327429E37C26E</vt:lpwstr>
  </property>
</Properties>
</file>