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b/>
          <w:bCs/>
          <w:sz w:val="48"/>
          <w:szCs w:val="48"/>
          <w:lang w:eastAsia="zh-CN"/>
        </w:rPr>
        <w:t>钢构</w:t>
      </w:r>
      <w:r>
        <w:rPr>
          <w:rFonts w:hint="eastAsia" w:asciiTheme="minorEastAsia" w:hAnsiTheme="minorEastAsia" w:eastAsiaTheme="minorEastAsia" w:cstheme="minorEastAsia"/>
          <w:b/>
          <w:bCs/>
          <w:sz w:val="48"/>
          <w:szCs w:val="48"/>
        </w:rPr>
        <w:t>-</w:t>
      </w:r>
      <w:r>
        <w:rPr>
          <w:rFonts w:hint="eastAsia" w:asciiTheme="minorEastAsia" w:hAnsiTheme="minorEastAsia" w:eastAsiaTheme="minorEastAsia" w:cstheme="minorEastAsia"/>
          <w:b/>
          <w:bCs/>
          <w:sz w:val="48"/>
          <w:szCs w:val="48"/>
          <w:lang w:eastAsia="zh-CN"/>
        </w:rPr>
        <w:t>厄瓜多尔维护材料</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3011</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2</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7</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color w:val="auto"/>
          <w:sz w:val="28"/>
          <w:szCs w:val="28"/>
          <w:u w:val="single"/>
          <w:lang w:val="en-US" w:eastAsia="zh-CN"/>
        </w:rPr>
        <w:t>1包：4545.2米0.5厚海蓝色镀铝锌彩钢板（275g/㎡双面)成品彩钢板；2包：8.413吨0.5厚象牙白色镀铝锌彩钢板（275g/㎡双面)。</w:t>
      </w:r>
    </w:p>
    <w:p>
      <w:pPr>
        <w:ind w:firstLine="560" w:firstLineChars="200"/>
        <w:rPr>
          <w:rFonts w:asciiTheme="minorEastAsia" w:hAnsiTheme="minorEastAsia" w:eastAsiaTheme="minorEastAsia" w:cstheme="minorEastAsia"/>
          <w:color w:val="auto"/>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15</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报销入账履行相关财务手续后，次月支付50%，当年年底支付30%，剩余20%款项后两年内付清。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bookmarkStart w:id="0" w:name="_GoBack"/>
      <w:bookmarkEnd w:id="0"/>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13243759"/>
    <w:rsid w:val="51387B2C"/>
    <w:rsid w:val="7623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2843</Words>
  <Characters>3170</Characters>
  <Lines>0</Lines>
  <Paragraphs>0</Paragraphs>
  <TotalTime>1204</TotalTime>
  <ScaleCrop>false</ScaleCrop>
  <LinksUpToDate>false</LinksUpToDate>
  <CharactersWithSpaces>3218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2023-02-07T02:23:48Z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