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第二事业部池州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书香苑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加气ALC内隔墙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317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叶明陵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叶明陵（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）、任凡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墙体材料应用统一技术规范</w:t>
      </w:r>
      <w:r>
        <w:rPr>
          <w:rFonts w:ascii="仿宋" w:hAnsi="仿宋" w:eastAsia="仿宋" w:cs="仿宋_GB2312"/>
          <w:sz w:val="28"/>
          <w:szCs w:val="28"/>
          <w:u w:val="single"/>
        </w:rPr>
        <w:t>》GB/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50574-2010、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住宅工程质量通病防治技术规程</w:t>
      </w:r>
      <w:r>
        <w:rPr>
          <w:rFonts w:ascii="仿宋" w:hAnsi="仿宋" w:eastAsia="仿宋" w:cs="仿宋_GB2312"/>
          <w:sz w:val="28"/>
          <w:szCs w:val="28"/>
          <w:u w:val="single"/>
        </w:rPr>
        <w:t>》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DB34/1659-2012</w:t>
      </w:r>
      <w:r>
        <w:rPr>
          <w:rFonts w:ascii="仿宋" w:hAnsi="仿宋" w:eastAsia="仿宋" w:cs="仿宋_GB2312"/>
          <w:sz w:val="28"/>
          <w:szCs w:val="28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要求。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（投标人如不响应此质量要求可在《第十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章》的偏离表中说明，响应则可不填。）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（4）按招标人提供清单生产，分批发货；每批发货前，招标人提前7天通知具体发货明细。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因材料产品质量不合格所造成的相关质量问题，没收中标人履约保证金（我公司将保留供方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0000元材料款作为履约保证金），同时对相关质量问题所引发的返工、耽误工期、对业主单位的生产影响等所有相关损失，中标人承担相应责任。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highlight w:val="green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根据到货情况，货到验收合格后开具发票，入账次月支付50%，春节前支付至80%，剩余20%该春节后两年内付清。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报价为含税（税率必须注明）、含运费、含包安装价。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一票制结算。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供应方须保证主体结构通过验收。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（2）墙板安装所需辅材及机械、人工均由供应方提供，并包含在报价中。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、收货人</w:t>
      </w:r>
    </w:p>
    <w:p>
      <w:pPr>
        <w:ind w:firstLine="638" w:firstLineChars="228"/>
        <w:rPr>
          <w:rFonts w:hint="default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材料送至池州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书香苑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工现场。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收货人：程剑雄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18005627751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本次招标设最高控制价，凡高于控制价均视为无效投标。</w:t>
      </w:r>
    </w:p>
    <w:p>
      <w:pPr>
        <w:numPr>
          <w:numId w:val="0"/>
        </w:numPr>
        <w:ind w:firstLine="1120" w:firstLineChars="400"/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lang w:eastAsia="zh-CN"/>
        </w:rPr>
        <w:t>拦标价：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200mm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830元/立方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（含运费含安装不含税价）</w:t>
      </w:r>
    </w:p>
    <w:p>
      <w:pPr>
        <w:numPr>
          <w:numId w:val="0"/>
        </w:numPr>
        <w:ind w:firstLine="1120" w:firstLineChars="400"/>
        <w:rPr>
          <w:rFonts w:hint="default" w:ascii="仿宋" w:hAnsi="仿宋" w:eastAsia="仿宋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 xml:space="preserve">        100mm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850元/立方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（含运费含安装不含税价）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  <w:bookmarkStart w:id="0" w:name="_GoBack"/>
      <w:bookmarkEnd w:id="0"/>
    </w:p>
    <w:p>
      <w:pPr>
        <w:numPr>
          <w:ilvl w:val="0"/>
          <w:numId w:val="3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numPr>
          <w:ilvl w:val="0"/>
          <w:numId w:val="4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5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5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5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5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5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317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加气ALC内隔墙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200mm厚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1434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GB/50574-2010；DB34/1659-2012，加工明细详见所附清单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加气ALC内隔墙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100mm厚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GB/50574-2010；DB34/1659-2012，加工明细详见所附清单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含运费、含包安装价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一票制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。供应方须保证主体结构通过验收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墙板安装所需辅材及机械、人工均由供应方提供，并包含在报价中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保留至小数点后两位。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E88982"/>
    <w:multiLevelType w:val="singleLevel"/>
    <w:tmpl w:val="B8E8898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C7C9E5"/>
    <w:multiLevelType w:val="singleLevel"/>
    <w:tmpl w:val="23C7C9E5"/>
    <w:lvl w:ilvl="0" w:tentative="0">
      <w:start w:val="8"/>
      <w:numFmt w:val="decimal"/>
      <w:suff w:val="nothing"/>
      <w:lvlText w:val="%1、"/>
      <w:lvlJc w:val="left"/>
    </w:lvl>
  </w:abstractNum>
  <w:abstractNum w:abstractNumId="3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FD3612B"/>
    <w:multiLevelType w:val="singleLevel"/>
    <w:tmpl w:val="5FD3612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60F035C2"/>
    <w:rsid w:val="62274C0B"/>
    <w:rsid w:val="63E45615"/>
    <w:rsid w:val="644A2A1E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14</Pages>
  <Words>3828</Words>
  <Characters>4363</Characters>
  <Lines>33</Lines>
  <Paragraphs>9</Paragraphs>
  <TotalTime>2</TotalTime>
  <ScaleCrop>false</ScaleCrop>
  <LinksUpToDate>false</LinksUpToDate>
  <CharactersWithSpaces>4459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2023-02-28T07:01:06Z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