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中科铜都项目夹芯板</w:t>
      </w:r>
      <w:r>
        <w:rPr>
          <w:rFonts w:hint="eastAsia" w:asciiTheme="minorEastAsia" w:hAnsiTheme="minorEastAsia" w:eastAsiaTheme="minorEastAsia" w:cstheme="minorEastAsia"/>
          <w:b/>
          <w:bCs/>
          <w:sz w:val="40"/>
          <w:szCs w:val="40"/>
          <w:lang w:eastAsia="zh-CN"/>
        </w:rPr>
        <w:t>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046</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24</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中科铜都项目998.7平方夹芯板</w:t>
      </w:r>
      <w:r>
        <w:rPr>
          <w:rFonts w:hint="eastAsia" w:asciiTheme="minorEastAsia" w:hAnsiTheme="minorEastAsia" w:eastAsiaTheme="minorEastAsia" w:cstheme="minorEastAsia"/>
          <w:sz w:val="28"/>
          <w:szCs w:val="28"/>
          <w:u w:val="single"/>
          <w:lang w:eastAsia="zh-CN"/>
        </w:rPr>
        <w:t>等（详见报价单）</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bookmarkStart w:id="0" w:name="_GoBack"/>
      <w:bookmarkEnd w:id="0"/>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0%，剩余20%款项后两年内付清。</w:t>
      </w:r>
    </w:p>
    <w:p>
      <w:pPr>
        <w:ind w:firstLine="638" w:firstLineChars="228"/>
        <w:rPr>
          <w:rFonts w:asciiTheme="minorEastAsia" w:hAnsiTheme="minorEastAsia" w:eastAsiaTheme="minorEastAsia" w:cstheme="minorEastAsia"/>
          <w:sz w:val="28"/>
          <w:szCs w:val="28"/>
          <w:u w:val="single"/>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566B28"/>
    <w:rsid w:val="246E6DF4"/>
    <w:rsid w:val="25590EC9"/>
    <w:rsid w:val="25F7787F"/>
    <w:rsid w:val="26A26CEB"/>
    <w:rsid w:val="27F95E40"/>
    <w:rsid w:val="299D4A4C"/>
    <w:rsid w:val="29A812EF"/>
    <w:rsid w:val="29C90500"/>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BCA0FDC"/>
    <w:rsid w:val="6C5C5C5B"/>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2768</Words>
  <Characters>3073</Characters>
  <Lines>56</Lines>
  <Paragraphs>15</Paragraphs>
  <TotalTime>1</TotalTime>
  <ScaleCrop>false</ScaleCrop>
  <LinksUpToDate>false</LinksUpToDate>
  <CharactersWithSpaces>3161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2023-03-24T09:11:07Z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