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</w:p>
    <w:p>
      <w:pPr>
        <w:spacing w:line="700" w:lineRule="exact"/>
        <w:jc w:val="center"/>
        <w:rPr>
          <w:rFonts w:ascii="仿宋" w:hAnsi="仿宋"/>
          <w:sz w:val="48"/>
          <w:szCs w:val="48"/>
        </w:rPr>
      </w:pPr>
      <w:r>
        <w:rPr>
          <w:rFonts w:hint="eastAsia" w:ascii="宋体" w:hAnsi="宋体" w:cs="宋体"/>
          <w:b/>
          <w:bCs/>
          <w:sz w:val="52"/>
          <w:szCs w:val="52"/>
          <w:u w:val="single"/>
          <w:lang w:eastAsia="zh-CN"/>
        </w:rPr>
        <w:t>建材公司炉渣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96"/>
          <w:szCs w:val="96"/>
        </w:rPr>
      </w:pPr>
      <w:r>
        <w:rPr>
          <w:rFonts w:hint="eastAsia" w:ascii="仿宋" w:hAnsi="仿宋" w:eastAsia="仿宋"/>
          <w:b/>
          <w:sz w:val="52"/>
          <w:szCs w:val="52"/>
        </w:rPr>
        <w:t>招标文件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52"/>
          <w:szCs w:val="52"/>
        </w:rPr>
      </w:pPr>
    </w:p>
    <w:p>
      <w:pP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招标编号：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TGJA-WZ-20234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9</w:t>
      </w:r>
    </w:p>
    <w:p>
      <w:pPr>
        <w:rPr>
          <w:rFonts w:ascii="仿宋" w:hAnsi="仿宋" w:eastAsia="仿宋" w:cs="仿宋_GB2312"/>
          <w:b/>
          <w:bCs/>
          <w:sz w:val="32"/>
          <w:szCs w:val="32"/>
          <w:highlight w:val="cyan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招标公告发布日期：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2023年3月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日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招 标 人: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铜陵有色金属集团铜冠建筑安装股份有限公司</w:t>
      </w:r>
    </w:p>
    <w:p>
      <w:pPr>
        <w:rPr>
          <w:rFonts w:ascii="仿宋" w:hAnsi="仿宋" w:eastAsia="仿宋" w:cs="仿宋_GB2312"/>
          <w:b/>
          <w:bCs/>
          <w:sz w:val="32"/>
          <w:szCs w:val="32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联 系 人：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叶明陵（13865621916）、任凡（15656263008）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【声明】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1、公开招标（竞价）是铜冠建安公司为规范自主采购管理，推进阳光工程而采取的公开竞争性采购方式，公司物资供应部根据阳光工程相关规定通过招标平台进行公开招标（竞价）。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2、公开招标（竞价）在铜冠建安公司纪委监督下进行。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一、招标日程安排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cyan"/>
          <w:u w:val="single"/>
          <w:shd w:val="clear" w:color="FFFFFF" w:fill="D9D9D9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1、招标公告发布日期：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2023年3月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cyan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2、投标截止时间：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2023年4月6日9:00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3、投标文件递交地点：铜陵有色金属集团铜冠建筑安装股份有限公司审计监察室（</w:t>
      </w:r>
      <w:r>
        <w:rPr>
          <w:rFonts w:hint="eastAsia" w:ascii="仿宋" w:hAnsi="仿宋" w:eastAsia="仿宋" w:cs="仿宋_GB2312"/>
          <w:sz w:val="28"/>
          <w:szCs w:val="28"/>
        </w:rPr>
        <w:t>黄山大道南段879号主楼四楼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4、投标文件收件人：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5、开标时间：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2023年4月6日9:00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6、发中标通知书时间：另行通知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7、签订合同时间：另行通知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二、招标内容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本次招标的具体内容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：详见报价单。</w:t>
      </w: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说明：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该招标数量为招标人在现有条件下核定的大约数量，此数量仅作为评标和签订合同数量的依据，不作为中标人最终供货结算数量的依据，最终供货结算数量的增减丝毫不影响投标报价的效力。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三、投标人资格要求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1、在中华人民共和国境内依法经国家工商、税务机关登记注册。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2、投标人须为一般纳税人或小规模纳税人。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3、投标人提供的相关资质证件均须在年审有效期内。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4、投标人营业执照所列示的经营范围必须涵盖本次招标材料品种。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green"/>
        </w:rPr>
      </w:pPr>
      <w:r>
        <w:rPr>
          <w:rFonts w:hint="eastAsia" w:ascii="仿宋" w:hAnsi="仿宋" w:eastAsia="仿宋" w:cs="仿宋_GB2312"/>
          <w:sz w:val="28"/>
          <w:szCs w:val="28"/>
        </w:rPr>
        <w:t>5、有生产经营和安全许可要求的，必须有相应有效的许可证。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6、投标人近三年无重大失信和违法、违纪行为等不良记录。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四、招标公告发布的媒介及招标公告的获取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本次招标公告（包括后期如有对招标文件所作的澄清、修改等。）将在铜冠建筑安装股份有限公司网（</w:t>
      </w:r>
      <w:r>
        <w:rPr>
          <w:rFonts w:ascii="仿宋" w:hAnsi="仿宋" w:eastAsia="仿宋" w:cs="仿宋_GB2312"/>
          <w:sz w:val="28"/>
          <w:szCs w:val="28"/>
        </w:rPr>
        <w:t>http://www.tltgja.com.cn/</w:t>
      </w:r>
      <w:r>
        <w:rPr>
          <w:rFonts w:hint="eastAsia" w:ascii="仿宋" w:hAnsi="仿宋" w:eastAsia="仿宋" w:cs="仿宋_GB2312"/>
          <w:sz w:val="28"/>
          <w:szCs w:val="28"/>
        </w:rPr>
        <w:t>）在线招标--物资招标上发布。招标公告请投标人自行下载。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所有招标信息均以以上网站发布为准，其它任何形式的内容不作为招标投标以及开标评标的依据。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sz w:val="36"/>
          <w:szCs w:val="36"/>
        </w:rPr>
        <w:t>五、投标报名</w:t>
      </w: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1、各投标人需在开标之前至铜陵有色建安公司报名。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2、报名时投标人需提供报名资料。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报名资料包括加盖公章的营业执照副本的复印件、法人身份证复印件（经办人不是法人代表的要提供法人代表授权委托书、代理人身份证复印件）等资料。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3、报名自招标公告发布之日起至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</w:rPr>
        <w:t>2023年4月5日12:00止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报名后资格审查未通过或未按相关要求报名的投标资料按废标处理。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5、报名地点：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铜冠建安公司物资供应部（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黄山大道南段879号主楼四楼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）也可通过网络形式报名，将相关资料通过网络发给报名联系人。</w:t>
      </w:r>
    </w:p>
    <w:p>
      <w:pPr>
        <w:ind w:firstLine="560" w:firstLineChars="200"/>
        <w:rPr>
          <w:rFonts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6、联 系 人：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叶明陵（13865621916）、任凡（15656263008）</w:t>
      </w: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六、保证金</w:t>
      </w: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1、为严肃和规范投标行为，确保投标的顺利以及中标后合同的有效执行，投标人须向招标人缴纳投标保证金，本次需缴纳投标保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证</w:t>
      </w:r>
      <w:r>
        <w:rPr>
          <w:rFonts w:hint="eastAsia" w:ascii="仿宋" w:hAnsi="仿宋" w:eastAsia="仿宋" w:cs="仿宋_GB2312"/>
          <w:color w:val="000000"/>
          <w:sz w:val="28"/>
          <w:szCs w:val="28"/>
          <w:highlight w:val="none"/>
        </w:rPr>
        <w:t>金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highlight w:val="none"/>
          <w:u w:val="single"/>
          <w:lang w:eastAsia="zh-CN"/>
        </w:rPr>
        <w:t>叁仟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highlight w:val="none"/>
          <w:u w:val="single"/>
        </w:rPr>
        <w:t>元整</w:t>
      </w:r>
      <w:r>
        <w:rPr>
          <w:rFonts w:hint="eastAsia" w:ascii="仿宋" w:hAnsi="仿宋" w:eastAsia="仿宋" w:cs="仿宋_GB2312"/>
          <w:color w:val="000000"/>
          <w:sz w:val="28"/>
          <w:szCs w:val="28"/>
          <w:highlight w:val="none"/>
        </w:rPr>
        <w:t>；</w:t>
      </w:r>
      <w:r>
        <w:rPr>
          <w:rFonts w:hint="eastAsia" w:ascii="仿宋" w:hAnsi="仿宋" w:eastAsia="仿宋" w:cs="仿宋_GB2312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投标文件内附汇款凭证复印件。如投标人在铜冠建安公司（含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各分子公司）有超过投标保证金数额的应收欠款，可以出具承诺书的方式将足额应收欠款转为投标保证金，承诺书作为投标资料的一部分，并附铜冠建安公司（含各分子公司）财务出具的加盖财务专用章的应收欠款证明。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无投标保证金或未出具投标保证金承诺书视为无效投标。</w:t>
      </w:r>
      <w:r>
        <w:rPr>
          <w:rFonts w:hint="eastAsia" w:ascii="仿宋" w:hAnsi="仿宋" w:eastAsia="仿宋" w:cs="仿宋_GB2312"/>
          <w:sz w:val="28"/>
          <w:szCs w:val="28"/>
        </w:rPr>
        <w:t>投标保证金须对公账户转账，不接受个人账户转账，同时要求注明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eastAsia="zh-CN"/>
        </w:rPr>
        <w:t>铜冠建安公司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val="en-US" w:eastAsia="zh-CN"/>
        </w:rPr>
        <w:t>建材公司炉渣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TGJA-WZ-202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val="en-US" w:eastAsia="zh-CN"/>
        </w:rPr>
        <w:t>349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投标保证金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eastAsia="zh-CN"/>
        </w:rPr>
        <w:t>。</w:t>
      </w:r>
    </w:p>
    <w:p>
      <w:pPr>
        <w:spacing w:line="560" w:lineRule="exact"/>
        <w:ind w:firstLine="562" w:firstLineChars="200"/>
        <w:jc w:val="left"/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  <w:t xml:space="preserve">2、下列任何情况发生时，投标保证金将被不予退还： 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（1）投标人在投标截止后至投标有效期内撤回投标文件的； 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（2）中标人未能在规定期限内按照招标文件签订合同协议；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（3）签署合同后，未能在规定的时间内提供履约保证金；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（4）投标人在招标中存在违规和违法行为的。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（5）中标人因自身原因放弃中标资格的。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3、在签订合同前，中标人须交纳履约保证金。履约保证金金额为中标合同总金额的 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10% </w:t>
      </w: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如中标人在铜冠建安公司（含各分子公司）有超过履约保证金数额的应收欠款，可以出具承诺书的方式承诺将足额欠款转为履约保证金，并附铜冠建安公司（含各分子公司）财务出具加盖财务专用章的应收欠款证明。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或以货款抵扣。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4、招标人与中标人签订合同后</w:t>
      </w:r>
      <w:r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  <w:t>7</w:t>
      </w:r>
      <w:r>
        <w:rPr>
          <w:rFonts w:hint="eastAsia" w:ascii="仿宋" w:hAnsi="仿宋" w:eastAsia="仿宋" w:cs="仿宋_GB2312"/>
          <w:sz w:val="28"/>
          <w:szCs w:val="28"/>
        </w:rPr>
        <w:t>日内，向未中标的投标人退还投标保证金（无息），中标人在签订合同并交纳履约保证金后退还投标保证金（无息）。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5、公司对公账户信息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账户名称：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铜陵有色金属集团铜冠建筑安装股份有限公司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账    号：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1308024009200056147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开 户 行：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工行铜陵铜都支行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七</w:t>
      </w:r>
      <w:r>
        <w:rPr>
          <w:rFonts w:hint="eastAsia" w:ascii="仿宋" w:hAnsi="仿宋" w:eastAsia="仿宋" w:cs="仿宋_GB2312"/>
          <w:b/>
          <w:sz w:val="36"/>
          <w:szCs w:val="36"/>
        </w:rPr>
        <w:t>、 投标文件的递交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color w:val="000000" w:themeColor="text1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1、投标文件递交的截止时间：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</w:rPr>
        <w:t>2023年4月6日9:00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2、投标文件递交地点：铜陵有色金属集团铜冠建筑安装股份有限公司经营部（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黄山大道南段879号主楼四楼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3、投标文件收件人：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4、逾期送达的或未按规定送达指定地点的投标文件，招标人不予受理。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八</w:t>
      </w:r>
      <w:r>
        <w:rPr>
          <w:rFonts w:hint="eastAsia" w:ascii="仿宋" w:hAnsi="仿宋" w:eastAsia="仿宋" w:cs="仿宋_GB2312"/>
          <w:b/>
          <w:sz w:val="36"/>
          <w:szCs w:val="36"/>
        </w:rPr>
        <w:t>、投标人须知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1、与本次招标材料的质量相关要求</w:t>
      </w:r>
    </w:p>
    <w:p>
      <w:pPr>
        <w:spacing w:line="560" w:lineRule="exact"/>
        <w:ind w:firstLine="638" w:firstLineChars="228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（1）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材料质量要求：符合国家最新颁布的质</w:t>
      </w:r>
      <w:r>
        <w:rPr>
          <w:rFonts w:hint="eastAsia" w:ascii="仿宋" w:hAnsi="仿宋" w:eastAsia="仿宋" w:cs="仿宋"/>
          <w:sz w:val="28"/>
          <w:szCs w:val="28"/>
          <w:u w:val="single"/>
        </w:rPr>
        <w:t>量标准。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水分</w:t>
      </w:r>
      <w:r>
        <w:rPr>
          <w:rFonts w:hint="eastAsia" w:ascii="仿宋" w:hAnsi="仿宋" w:eastAsia="仿宋" w:cs="仿宋"/>
          <w:sz w:val="28"/>
          <w:szCs w:val="28"/>
          <w:u w:val="single"/>
        </w:rPr>
        <w:t>≤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5%；</w:t>
      </w:r>
      <w:r>
        <w:rPr>
          <w:rFonts w:hint="eastAsia" w:ascii="仿宋" w:hAnsi="仿宋" w:eastAsia="仿宋" w:cs="仿宋"/>
          <w:sz w:val="28"/>
          <w:szCs w:val="28"/>
          <w:u w:val="single"/>
        </w:rPr>
        <w:t>氯离子≤0.06%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投标人如若中标，提供的所有材料必须符合质量要求，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以招标人抽样检验为准。所供材料如未达到技术指标要求，中标人应立即停供。</w:t>
      </w:r>
    </w:p>
    <w:p>
      <w:pPr>
        <w:spacing w:line="560" w:lineRule="exact"/>
        <w:ind w:firstLine="638" w:firstLineChars="228"/>
        <w:rPr>
          <w:rFonts w:hint="default" w:ascii="仿宋" w:hAnsi="仿宋" w:eastAsia="仿宋" w:cs="仿宋_GB2312"/>
          <w:sz w:val="28"/>
          <w:szCs w:val="28"/>
          <w:highlight w:val="green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</w:rPr>
        <w:t>（3）若达不到招标人要求的，中标人无条件将该车货物拉回且不计货款，动用招标人机械装货收取</w:t>
      </w:r>
      <w:r>
        <w:rPr>
          <w:rFonts w:hint="eastAsia" w:ascii="仿宋" w:hAnsi="仿宋" w:eastAsia="仿宋" w:cs="仿宋_GB2312"/>
          <w:b/>
          <w:bCs/>
          <w:color w:val="FF0000"/>
          <w:sz w:val="28"/>
          <w:szCs w:val="28"/>
          <w:highlight w:val="none"/>
          <w:u w:val="single"/>
        </w:rPr>
        <w:t>500</w:t>
      </w:r>
      <w:r>
        <w:rPr>
          <w:rFonts w:hint="eastAsia" w:ascii="仿宋" w:hAnsi="仿宋" w:eastAsia="仿宋" w:cs="仿宋_GB2312"/>
          <w:sz w:val="28"/>
          <w:szCs w:val="28"/>
          <w:highlight w:val="none"/>
        </w:rPr>
        <w:t>元/车装车费。</w:t>
      </w:r>
      <w:r>
        <w:rPr>
          <w:rFonts w:hint="eastAsia" w:ascii="仿宋" w:hAnsi="仿宋" w:eastAsia="仿宋" w:cs="仿宋_GB2312"/>
          <w:sz w:val="28"/>
          <w:szCs w:val="28"/>
          <w:highlight w:val="none"/>
          <w:lang w:val="en-US" w:eastAsia="zh-CN"/>
        </w:rPr>
        <w:t>任何一项或多项指标累计三次不达标的，甲方有权终止合同。</w:t>
      </w:r>
    </w:p>
    <w:p>
      <w:pPr>
        <w:spacing w:line="560" w:lineRule="exact"/>
        <w:ind w:firstLine="638" w:firstLineChars="228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（4）因材料产品质量不合格所造成的相关质量问题，没收中标人履约保证金，给招标人造成的损失超过履约保证金数额的，中标人还应当对超过部分予以赔偿，同时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一年内</w:t>
      </w:r>
      <w:r>
        <w:rPr>
          <w:rFonts w:hint="eastAsia" w:ascii="仿宋" w:hAnsi="仿宋" w:eastAsia="仿宋" w:cs="仿宋_GB2312"/>
          <w:sz w:val="28"/>
          <w:szCs w:val="28"/>
        </w:rPr>
        <w:t>禁止参加铜冠建安公司招标。</w:t>
      </w:r>
    </w:p>
    <w:p>
      <w:pPr>
        <w:spacing w:line="560" w:lineRule="exact"/>
        <w:ind w:firstLine="638" w:firstLineChars="228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2、交货地点</w:t>
      </w:r>
    </w:p>
    <w:p>
      <w:pPr>
        <w:spacing w:line="560" w:lineRule="exact"/>
        <w:ind w:firstLine="638" w:firstLineChars="228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材料送至铜陵铜冠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建安新型环保建材科技有限</w:t>
      </w:r>
      <w:r>
        <w:rPr>
          <w:rFonts w:hint="eastAsia" w:ascii="仿宋" w:hAnsi="仿宋" w:eastAsia="仿宋" w:cs="仿宋_GB2312"/>
          <w:sz w:val="28"/>
          <w:szCs w:val="28"/>
        </w:rPr>
        <w:t>公司。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3、运输要求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由</w:t>
      </w:r>
      <w:r>
        <w:rPr>
          <w:rFonts w:hint="eastAsia" w:ascii="仿宋" w:hAnsi="仿宋" w:eastAsia="仿宋" w:cs="仿宋_GB2312"/>
          <w:sz w:val="28"/>
          <w:szCs w:val="28"/>
        </w:rPr>
        <w:t>中标人负责运输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_GB2312"/>
          <w:sz w:val="28"/>
          <w:szCs w:val="28"/>
        </w:rPr>
        <w:t>运输过程中未按相关安全、环保等要求所导致的一切安全环保生产事故由中标人承担责任。</w:t>
      </w:r>
    </w:p>
    <w:p>
      <w:pPr>
        <w:spacing w:line="560" w:lineRule="exact"/>
        <w:ind w:firstLine="638" w:firstLineChars="228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4、报价相关要求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（1）本次招标设置招标控制价</w:t>
      </w:r>
    </w:p>
    <w:p>
      <w:pPr>
        <w:spacing w:line="560" w:lineRule="exact"/>
        <w:ind w:firstLine="840" w:firstLineChars="300"/>
        <w:rPr>
          <w:rFonts w:hint="eastAsia" w:ascii="仿宋" w:hAnsi="仿宋" w:eastAsia="仿宋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</w:rPr>
        <w:t>控制价为</w:t>
      </w:r>
      <w:r>
        <w:rPr>
          <w:rFonts w:hint="eastAsia" w:ascii="仿宋" w:hAnsi="仿宋" w:eastAsia="仿宋" w:cs="仿宋_GB2312"/>
          <w:sz w:val="28"/>
          <w:szCs w:val="28"/>
          <w:highlight w:val="none"/>
          <w:lang w:val="en-US" w:eastAsia="zh-CN"/>
        </w:rPr>
        <w:t>50</w:t>
      </w:r>
      <w:r>
        <w:rPr>
          <w:rFonts w:hint="eastAsia" w:ascii="仿宋" w:hAnsi="仿宋" w:eastAsia="仿宋" w:cs="仿宋_GB2312"/>
          <w:sz w:val="28"/>
          <w:szCs w:val="28"/>
          <w:highlight w:val="none"/>
        </w:rPr>
        <w:t>元/吨（含</w:t>
      </w:r>
      <w:r>
        <w:rPr>
          <w:rFonts w:hint="eastAsia" w:ascii="仿宋" w:hAnsi="仿宋" w:eastAsia="仿宋" w:cs="仿宋_GB2312"/>
          <w:sz w:val="28"/>
          <w:szCs w:val="28"/>
          <w:highlight w:val="none"/>
          <w:lang w:val="en-US" w:eastAsia="zh-CN"/>
        </w:rPr>
        <w:t>13%增值</w:t>
      </w:r>
      <w:r>
        <w:rPr>
          <w:rFonts w:hint="eastAsia" w:ascii="仿宋" w:hAnsi="仿宋" w:eastAsia="仿宋" w:cs="仿宋_GB2312"/>
          <w:sz w:val="28"/>
          <w:szCs w:val="28"/>
          <w:highlight w:val="none"/>
        </w:rPr>
        <w:t>税含运费</w:t>
      </w:r>
      <w:r>
        <w:rPr>
          <w:rFonts w:hint="eastAsia" w:ascii="仿宋" w:hAnsi="仿宋" w:eastAsia="仿宋" w:cs="仿宋_GB2312"/>
          <w:sz w:val="28"/>
          <w:szCs w:val="28"/>
          <w:highlight w:val="none"/>
          <w:lang w:eastAsia="zh-CN"/>
        </w:rPr>
        <w:t>一票制</w:t>
      </w:r>
      <w:r>
        <w:rPr>
          <w:rFonts w:hint="eastAsia" w:ascii="仿宋" w:hAnsi="仿宋" w:eastAsia="仿宋" w:cs="仿宋_GB2312"/>
          <w:sz w:val="28"/>
          <w:szCs w:val="28"/>
          <w:highlight w:val="none"/>
        </w:rPr>
        <w:t>）</w:t>
      </w:r>
      <w:r>
        <w:rPr>
          <w:rFonts w:hint="eastAsia" w:ascii="仿宋" w:hAnsi="仿宋" w:eastAsia="仿宋" w:cs="仿宋_GB2312"/>
          <w:sz w:val="28"/>
          <w:szCs w:val="28"/>
          <w:highlight w:val="none"/>
          <w:lang w:eastAsia="zh-CN"/>
        </w:rPr>
        <w:t>。</w:t>
      </w:r>
    </w:p>
    <w:p>
      <w:pPr>
        <w:numPr>
          <w:ilvl w:val="0"/>
          <w:numId w:val="2"/>
        </w:numPr>
        <w:spacing w:line="560" w:lineRule="exact"/>
        <w:ind w:left="560"/>
        <w:rPr>
          <w:rFonts w:hint="eastAsia" w:ascii="仿宋" w:hAnsi="仿宋" w:eastAsia="仿宋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_GB2312"/>
          <w:sz w:val="28"/>
          <w:szCs w:val="28"/>
        </w:rPr>
        <w:t>凡高于招标控制价的报价均视为无效报价</w:t>
      </w:r>
      <w:r>
        <w:rPr>
          <w:rFonts w:hint="eastAsia" w:ascii="仿宋" w:hAnsi="仿宋" w:eastAsia="仿宋" w:cs="仿宋_GB2312"/>
          <w:sz w:val="28"/>
          <w:szCs w:val="28"/>
          <w:highlight w:val="none"/>
        </w:rPr>
        <w:t>。</w:t>
      </w:r>
    </w:p>
    <w:p>
      <w:pPr>
        <w:numPr>
          <w:ilvl w:val="0"/>
          <w:numId w:val="2"/>
        </w:numPr>
        <w:spacing w:line="560" w:lineRule="exact"/>
        <w:ind w:left="560"/>
        <w:rPr>
          <w:rFonts w:hint="eastAsia" w:ascii="仿宋" w:hAnsi="仿宋" w:eastAsia="仿宋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  <w:lang w:eastAsia="zh-CN"/>
        </w:rPr>
        <w:t>一旦中标，合同期内价格不予调整。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5、标书相关要求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1）投标法定代表人应在报价单相应位置签字及加盖公章，如经办人不是法人代表，须提供本人身份证复印件、法人身份证复印件、投标廉洁承诺书及有法人代表签字的《法人代表授权书》，以上资料须法定代表人逐页签字并加盖公章（原章）作为投标资料的一部分。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以上事项不符合要求的视为无效投标。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（2）投标文件密封袋封口处应密封完整，加盖投标单位公章，并且注明招标编号及材料名称。因投标人制作、密封、寄送报价文件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不符合要求的视为无效投标。</w:t>
      </w:r>
    </w:p>
    <w:p>
      <w:pPr>
        <w:spacing w:line="560" w:lineRule="exact"/>
        <w:ind w:firstLine="638" w:firstLineChars="228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（3）投标保证金汇款凭证复印件必须内附在投标文件中。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无投标保证金或投标保证金汇款凭证复印件未内附在投标文件中的，视为无效投标。</w:t>
      </w:r>
    </w:p>
    <w:p>
      <w:pPr>
        <w:spacing w:line="560" w:lineRule="exact"/>
        <w:ind w:firstLine="565" w:firstLineChars="202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4）投标人的所有报价文件，除《法定代表人授权书》中的法定代表人签名、投标廉洁承诺书中的承诺人签字、报价单中的法定代表人或授权委托人签名须手写以外，其他填写的内容均为加盖投标公章（原章）的打印件。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以上事项不符合要求的视为无效投标。</w:t>
      </w:r>
    </w:p>
    <w:p>
      <w:pPr>
        <w:spacing w:line="560" w:lineRule="exact"/>
        <w:ind w:firstLine="638" w:firstLineChars="228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（5）装订要求</w:t>
      </w:r>
    </w:p>
    <w:p>
      <w:pPr>
        <w:spacing w:line="560" w:lineRule="exact"/>
        <w:ind w:firstLine="565" w:firstLineChars="202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密封袋封口处应密封严实，并应加盖投标人公章。未按装订要求装订的，招标单位不负责相关保密要求，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同时视为无效投标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。</w:t>
      </w:r>
    </w:p>
    <w:p>
      <w:pPr>
        <w:numPr>
          <w:ilvl w:val="0"/>
          <w:numId w:val="3"/>
        </w:num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结算数量</w:t>
      </w:r>
    </w:p>
    <w:p>
      <w:pPr>
        <w:spacing w:line="560" w:lineRule="exact"/>
        <w:ind w:firstLine="560" w:firstLineChars="200"/>
        <w:rPr>
          <w:rFonts w:hint="default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（1）每车供货数量的确认：以铜陵铜冠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建安新型环保建材科技有限</w:t>
      </w:r>
      <w:r>
        <w:rPr>
          <w:rFonts w:hint="eastAsia" w:ascii="仿宋" w:hAnsi="仿宋" w:eastAsia="仿宋" w:cs="仿宋_GB2312"/>
          <w:sz w:val="28"/>
          <w:szCs w:val="28"/>
        </w:rPr>
        <w:t>公司磅单为准。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水分以</w:t>
      </w:r>
      <w:r>
        <w:rPr>
          <w:rFonts w:hint="eastAsia" w:ascii="仿宋" w:hAnsi="仿宋" w:eastAsia="仿宋" w:cs="仿宋_GB2312"/>
          <w:sz w:val="28"/>
          <w:szCs w:val="28"/>
        </w:rPr>
        <w:t>铜冠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建安新型环保建材科技有限</w:t>
      </w:r>
      <w:r>
        <w:rPr>
          <w:rFonts w:hint="eastAsia" w:ascii="仿宋" w:hAnsi="仿宋" w:eastAsia="仿宋" w:cs="仿宋_GB2312"/>
          <w:sz w:val="28"/>
          <w:szCs w:val="28"/>
        </w:rPr>
        <w:t>公司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实验室检测数据为准，超过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5%部分予以扣除相应吨位。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（2）每月供货数量的确认：供方每月2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_GB2312"/>
          <w:sz w:val="28"/>
          <w:szCs w:val="28"/>
        </w:rPr>
        <w:t>号与需方核对本月供应数量和金额，供应数量按照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建材公司</w:t>
      </w:r>
      <w:r>
        <w:rPr>
          <w:rFonts w:hint="eastAsia" w:ascii="仿宋" w:hAnsi="仿宋" w:eastAsia="仿宋" w:cs="仿宋_GB2312"/>
          <w:sz w:val="28"/>
          <w:szCs w:val="28"/>
        </w:rPr>
        <w:t>磅单为结算数量，供需双方共同确认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供应数量和金额后在结算单上签字。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7、结算价格</w:t>
      </w:r>
    </w:p>
    <w:p>
      <w:pPr>
        <w:spacing w:line="560" w:lineRule="exact"/>
        <w:rPr>
          <w:rFonts w:hint="eastAsia" w:ascii="仿宋" w:hAnsi="仿宋" w:eastAsia="仿宋" w:cs="仿宋"/>
          <w:b w:val="0"/>
          <w:bCs w:val="0"/>
          <w:spacing w:val="-17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>各投标单位报价须谨慎，一旦中标不得以任何理由变更报价</w:t>
      </w:r>
      <w:r>
        <w:rPr>
          <w:rFonts w:hint="eastAsia" w:ascii="仿宋" w:hAnsi="仿宋" w:eastAsia="仿宋" w:cs="仿宋"/>
          <w:b w:val="0"/>
          <w:bCs w:val="0"/>
          <w:spacing w:val="-17"/>
          <w:sz w:val="28"/>
          <w:szCs w:val="28"/>
          <w:u w:val="single"/>
        </w:rPr>
        <w:t>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8、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合同签订：中标人与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铜陵有色金属集团铜冠建筑安装股份有限公司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铜冠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建安新型环保建材科技有限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公司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签订三方合同。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9、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付款方式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highlight w:val="green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green"/>
          <w:shd w:val="clear" w:color="auto" w:fill="FFFFFF"/>
        </w:rPr>
        <w:t>供方按需方要求开具等价货款发票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green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green"/>
          <w:shd w:val="clear" w:color="auto" w:fill="FFFFFF"/>
        </w:rPr>
        <w:t>次月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green"/>
          <w:shd w:val="clear" w:color="auto" w:fill="FFFFFF"/>
          <w:lang w:eastAsia="zh-CN"/>
        </w:rPr>
        <w:t>支付发票金额的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green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green"/>
          <w:shd w:val="clear" w:color="auto" w:fill="FFFFFF"/>
        </w:rPr>
        <w:t>0%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green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green"/>
          <w:shd w:val="clear" w:color="auto" w:fill="FFFFFF"/>
        </w:rPr>
        <w:t>年底付到不低于总款项的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green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green"/>
          <w:shd w:val="clear" w:color="auto" w:fill="FFFFFF"/>
        </w:rPr>
        <w:t>0%货款。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green"/>
          <w:shd w:val="clear" w:color="auto" w:fill="FFFFFF"/>
          <w:lang w:eastAsia="zh-CN"/>
        </w:rPr>
        <w:t>余下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green"/>
          <w:shd w:val="clear" w:color="auto" w:fill="FFFFFF"/>
          <w:lang w:val="en-US" w:eastAsia="zh-CN"/>
        </w:rPr>
        <w:t>10%货款2024年6月30日前付清。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green"/>
          <w:shd w:val="clear" w:color="auto" w:fill="FFFFFF"/>
        </w:rPr>
        <w:t>货款以对公转账方式支付至供方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green"/>
          <w:shd w:val="clear" w:color="auto" w:fill="FFFFFF"/>
          <w:lang w:eastAsia="zh-CN"/>
        </w:rPr>
        <w:t>对公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green"/>
          <w:shd w:val="clear" w:color="auto" w:fill="FFFFFF"/>
        </w:rPr>
        <w:t>账户，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green"/>
          <w:shd w:val="clear" w:color="auto" w:fill="FFFFFF"/>
          <w:lang w:eastAsia="zh-CN"/>
        </w:rPr>
        <w:t>支付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green"/>
          <w:shd w:val="clear" w:color="auto" w:fill="FFFFFF"/>
        </w:rPr>
        <w:t>电汇。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green"/>
          <w:shd w:val="clear" w:color="auto" w:fill="FFFFFF"/>
          <w:lang w:eastAsia="zh-CN"/>
        </w:rPr>
        <w:t>中标人与建安公司和建材公司签订采购三方合同，付款由建安建材公司支付。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71A1D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71A1D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71A1D"/>
          <w:spacing w:val="0"/>
          <w:sz w:val="28"/>
          <w:szCs w:val="28"/>
          <w:shd w:val="clear" w:color="auto" w:fill="FFFFFF"/>
          <w:lang w:val="en-US" w:eastAsia="zh-CN"/>
        </w:rPr>
        <w:t>开票信息：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shd w:val="clear" w:color="auto" w:fill="FFFFFF"/>
          <w:lang w:val="en-US" w:eastAsia="zh-CN"/>
        </w:rPr>
        <w:t>名称：铜陵铜冠建安新型环保建材科技有限公司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shd w:val="clear" w:color="auto" w:fill="FFFFFF"/>
          <w:lang w:val="en-US" w:eastAsia="zh-CN"/>
        </w:rPr>
        <w:t>纳税人识别号：91340700090790738A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shd w:val="clear" w:color="auto" w:fill="FFFFFF"/>
          <w:lang w:val="en-US" w:eastAsia="zh-CN"/>
        </w:rPr>
        <w:t>地址 电话：安徽省铜陵市经济技术开发区   0562-5861530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shd w:val="clear" w:color="auto" w:fill="FFFFFF"/>
          <w:lang w:val="en-US" w:eastAsia="zh-CN"/>
        </w:rPr>
        <w:t>开户行及账号：中国银行义安支行  179725225176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九</w:t>
      </w:r>
      <w:r>
        <w:rPr>
          <w:rFonts w:hint="eastAsia" w:ascii="仿宋" w:hAnsi="仿宋" w:eastAsia="仿宋" w:cs="仿宋_GB2312"/>
          <w:b/>
          <w:sz w:val="36"/>
          <w:szCs w:val="36"/>
        </w:rPr>
        <w:t>、评标及中标履约要求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1、评标由审计监察室随机临时确定评委并组建的评标委员会负责。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2、评标原则：评标活动遵循公平、公正、科学和择优的原则。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3、评标：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本次评标以价格为评标依据，采取“合理低价法”评标。即以经评委会审核，剔除偏离市场行情较大的恶意报价后的报价进行排序，其中价格最低的报价单位为预中标单位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4、中标候选人推荐：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评标委员会依据评标结果推荐一名中标候选人。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5、中标通知：招标人以书面形式向中标人发出中标通知书。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6、招标人和中标人应当自中标通知书发出之日起七日内，按照招标文件和中标人的投标文件订立书面合同，招标人和中标人不得再行订立背离本次招标实质性内容的其他协议。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</w:rPr>
        <w:t>、纪律和监督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1、对招标人的纪律要求：招标人不得泄漏招标投标活动中应当保密的情况和资料，不得与投标人串通损害公司利益或者他人合法权益。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2、对投标人的纪律要求：投标人不得相互串通投标或者与招标人串通投标，不得向招标人或者评标委员会成员行贿谋取中标，不得以他人名义投标或者以其他方式弄虚作假骗取中标；投标人不得以任何方式干扰、影响评标工作。投标人有上述行为的，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一经确认将取消其今后参加我公司招标的资格，列入供应商黑名单。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一</w:t>
      </w:r>
      <w:r>
        <w:rPr>
          <w:rFonts w:hint="eastAsia" w:ascii="仿宋" w:hAnsi="仿宋" w:eastAsia="仿宋" w:cs="仿宋_GB2312"/>
          <w:b/>
          <w:sz w:val="36"/>
          <w:szCs w:val="36"/>
        </w:rPr>
        <w:t>、法定代表人授权书</w:t>
      </w:r>
    </w:p>
    <w:p>
      <w:pPr>
        <w:pStyle w:val="20"/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本授权书声明：我（姓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名）</w:t>
      </w:r>
      <w:r>
        <w:rPr>
          <w:rFonts w:hint="eastAsia" w:ascii="仿宋" w:hAnsi="仿宋" w:eastAsia="仿宋" w:cs="仿宋_GB2312"/>
          <w:sz w:val="28"/>
          <w:szCs w:val="28"/>
        </w:rPr>
        <w:t>系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</w:t>
      </w:r>
      <w:r>
        <w:rPr>
          <w:rFonts w:hint="eastAsia" w:ascii="仿宋" w:hAnsi="仿宋" w:eastAsia="仿宋" w:cs="仿宋_GB2312"/>
          <w:sz w:val="28"/>
          <w:szCs w:val="28"/>
        </w:rPr>
        <w:t>的法定代表人，现授权委托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（单位名称）（被授权委托人姓名 ）</w:t>
      </w:r>
      <w:r>
        <w:rPr>
          <w:rFonts w:hint="eastAsia" w:ascii="仿宋" w:hAnsi="仿宋" w:eastAsia="仿宋" w:cs="仿宋_GB2312"/>
          <w:sz w:val="28"/>
          <w:szCs w:val="28"/>
        </w:rPr>
        <w:t>为本公司合理代表人，就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 xml:space="preserve">投标，以本公司名义处理一切与之有关的事务。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本授权书于______年___月___日签字生效， 特此声明。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代理人情况：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姓名：__________________   职务/职称：____________________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地址：__________________   邮编：_________________________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电话：__________________   传真：_________________________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beforeLines="50" w:afterLines="50" w:line="360" w:lineRule="auto"/>
        <w:ind w:firstLine="4080" w:firstLineChars="1700"/>
        <w:rPr>
          <w:rFonts w:ascii="宋体"/>
          <w:sz w:val="24"/>
        </w:rPr>
      </w:pP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法定代表人签字：_______________ </w:t>
      </w: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单位盖章：_____________________</w:t>
      </w:r>
    </w:p>
    <w:p>
      <w:pPr>
        <w:spacing w:beforeLines="50" w:afterLines="50" w:line="360" w:lineRule="auto"/>
        <w:rPr>
          <w:sz w:val="24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年   月   日</w:t>
      </w:r>
    </w:p>
    <w:p>
      <w:pPr>
        <w:spacing w:line="56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二</w:t>
      </w:r>
      <w:r>
        <w:rPr>
          <w:rFonts w:hint="eastAsia" w:ascii="仿宋" w:hAnsi="仿宋" w:eastAsia="仿宋" w:cs="仿宋_GB2312"/>
          <w:b/>
          <w:sz w:val="36"/>
          <w:szCs w:val="36"/>
        </w:rPr>
        <w:t>、投标廉洁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承诺书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日参与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>投标，</w:t>
      </w:r>
      <w:r>
        <w:rPr>
          <w:rFonts w:hint="eastAsia" w:ascii="仿宋_GB2312" w:hAnsi="仿宋_GB2312" w:eastAsia="仿宋_GB2312" w:cs="仿宋_GB2312"/>
          <w:sz w:val="28"/>
          <w:szCs w:val="28"/>
        </w:rPr>
        <w:t>为加强招投标管理和廉政建设，防止发生各种谋取不正当利益的违法违纪行为、规范双方的各项活动，保护当事人及所属公司的合法权益，供方承诺：</w:t>
      </w:r>
    </w:p>
    <w:p>
      <w:pPr>
        <w:widowControl/>
        <w:numPr>
          <w:ilvl w:val="0"/>
          <w:numId w:val="4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承诺不相互串通投标或者与招标人串通投标；</w:t>
      </w:r>
    </w:p>
    <w:p>
      <w:pPr>
        <w:widowControl/>
        <w:numPr>
          <w:ilvl w:val="0"/>
          <w:numId w:val="4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不向招标人或者评标委员会成员行贿谋取中标；</w:t>
      </w:r>
    </w:p>
    <w:p>
      <w:pPr>
        <w:widowControl/>
        <w:numPr>
          <w:ilvl w:val="0"/>
          <w:numId w:val="4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不以他人名义投标或者以其他方式弄虚作假骗取中标；</w:t>
      </w:r>
    </w:p>
    <w:p>
      <w:pPr>
        <w:widowControl/>
        <w:numPr>
          <w:ilvl w:val="0"/>
          <w:numId w:val="4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承诺不向招标人及有关人员提供任何形式的财、物及请吃消费；</w:t>
      </w:r>
    </w:p>
    <w:p>
      <w:pPr>
        <w:widowControl/>
        <w:numPr>
          <w:ilvl w:val="0"/>
          <w:numId w:val="4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保证材料供应的数量、质量及供货时间符合贵公司要求。如果由于材料本身的数量、质量及供货时间等问题而导致贵公司生产、施工发生返工、工期延误等情况，所造成的相应直接、间接损失由我方承担，我方接受贵公司相应处罚，情节严重的愿承担相关法律责任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  <w:u w:val="single"/>
        </w:rPr>
      </w:pP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承诺方签字:</w:t>
      </w:r>
      <w:r>
        <w:rPr>
          <w:rFonts w:hint="eastAsia" w:ascii="仿宋" w:hAnsi="仿宋" w:eastAsia="仿宋" w:cs="仿宋_GB2312"/>
          <w:sz w:val="28"/>
          <w:szCs w:val="28"/>
        </w:rPr>
        <w:t>_________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单位盖章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                  </w:t>
      </w:r>
    </w:p>
    <w:p>
      <w:pPr>
        <w:spacing w:line="560" w:lineRule="exact"/>
        <w:ind w:firstLine="2240" w:firstLineChars="800"/>
        <w:rPr>
          <w:rFonts w:ascii="仿宋_GB2312" w:hAnsi="宋体" w:eastAsia="仿宋_GB2312" w:cs="仿宋_GB2312"/>
          <w:b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312" w:right="1469" w:bottom="709" w:left="1338" w:header="851" w:footer="273" w:gutter="284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日期：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三</w:t>
      </w:r>
      <w:r>
        <w:rPr>
          <w:rFonts w:hint="eastAsia" w:ascii="仿宋" w:hAnsi="仿宋" w:eastAsia="仿宋" w:cs="仿宋_GB2312"/>
          <w:b/>
          <w:sz w:val="36"/>
          <w:szCs w:val="36"/>
        </w:rPr>
        <w:t>、报价单</w:t>
      </w:r>
    </w:p>
    <w:p>
      <w:pPr>
        <w:rPr>
          <w:rFonts w:hint="eastAsia" w:ascii="仿宋_GB2312" w:eastAsia="仿宋_GB2312"/>
          <w:b/>
          <w:i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</w:rPr>
        <w:t>报价单 TGJA-WZ-20234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9</w:t>
      </w:r>
    </w:p>
    <w:tbl>
      <w:tblPr>
        <w:tblStyle w:val="54"/>
        <w:tblW w:w="152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2091"/>
        <w:gridCol w:w="1500"/>
        <w:gridCol w:w="1020"/>
        <w:gridCol w:w="1095"/>
        <w:gridCol w:w="983"/>
        <w:gridCol w:w="1297"/>
        <w:gridCol w:w="2388"/>
        <w:gridCol w:w="552"/>
        <w:gridCol w:w="551"/>
        <w:gridCol w:w="3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物料名称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型号规格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单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价＊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税率（注明税率及是否为增值税专业发票）＊</w:t>
            </w:r>
          </w:p>
        </w:tc>
        <w:tc>
          <w:tcPr>
            <w:tcW w:w="390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炉渣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吨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3000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906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highlight w:val="gre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合计＊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5231" w:type="dxa"/>
            <w:gridSpan w:val="11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说明：1、此报价表中带 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 xml:space="preserve">＊ </w:t>
            </w:r>
            <w:r>
              <w:rPr>
                <w:rFonts w:hint="eastAsia" w:ascii="仿宋_GB2312" w:eastAsia="仿宋_GB2312"/>
                <w:sz w:val="24"/>
              </w:rPr>
              <w:t>号为必填项，投标人的所有报价文件均为加盖单位公章的打印件（签名部分除外）。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2、税率栏填写时要具体明确税率及是否为增值税专用发票。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</w:t>
            </w:r>
            <w:r>
              <w:rPr>
                <w:rFonts w:hint="eastAsia" w:ascii="仿宋" w:hAnsi="仿宋" w:eastAsia="仿宋"/>
                <w:sz w:val="24"/>
              </w:rPr>
              <w:t>本次招标的数量为预估量，最终结算数量以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三</w:t>
            </w:r>
            <w:r>
              <w:rPr>
                <w:rFonts w:hint="eastAsia" w:ascii="仿宋" w:hAnsi="仿宋" w:eastAsia="仿宋"/>
                <w:sz w:val="24"/>
              </w:rPr>
              <w:t>方确认的实际供货数量为准。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88" w:type="dxa"/>
            <w:gridSpan w:val="6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投标单位（公章）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法定代表人或授权委托人</w:t>
            </w:r>
          </w:p>
        </w:tc>
        <w:tc>
          <w:tcPr>
            <w:tcW w:w="445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88" w:type="dxa"/>
            <w:gridSpan w:val="6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35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88" w:type="dxa"/>
            <w:gridSpan w:val="6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335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  <w:b/>
          <w:sz w:val="28"/>
          <w:szCs w:val="28"/>
        </w:rPr>
      </w:pPr>
    </w:p>
    <w:p>
      <w:pPr>
        <w:spacing w:line="4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sectPr>
      <w:headerReference r:id="rId5" w:type="default"/>
      <w:footerReference r:id="rId6" w:type="default"/>
      <w:pgSz w:w="16838" w:h="11906" w:orient="landscape"/>
      <w:pgMar w:top="1338" w:right="312" w:bottom="1469" w:left="709" w:header="851" w:footer="273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ind w:right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1"/>
                            <w:rPr>
                              <w:rStyle w:val="4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4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48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OqXm5zwAA&#10;AAUBAAAPAAAAAAAAAAEAIAAAACIAAABkcnMvZG93bnJldi54bWxQSwECFAAUAAAACACHTuJA14kl&#10;zrUBAABcAwAADgAAAAAAAAABACAAAAAe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1"/>
                      <w:rPr>
                        <w:rStyle w:val="48"/>
                      </w:rPr>
                    </w:pPr>
                    <w:r>
                      <w:fldChar w:fldCharType="begin"/>
                    </w:r>
                    <w:r>
                      <w:rPr>
                        <w:rStyle w:val="4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48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jc w:val="center"/>
    </w:pPr>
  </w:p>
  <w:p>
    <w:pPr>
      <w:pStyle w:val="3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1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2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3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2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BEA27D7"/>
    <w:multiLevelType w:val="singleLevel"/>
    <w:tmpl w:val="2BEA27D7"/>
    <w:lvl w:ilvl="0" w:tentative="0">
      <w:start w:val="6"/>
      <w:numFmt w:val="decimal"/>
      <w:suff w:val="nothing"/>
      <w:lvlText w:val="%1、"/>
      <w:lvlJc w:val="left"/>
    </w:lvl>
  </w:abstractNum>
  <w:abstractNum w:abstractNumId="2">
    <w:nsid w:val="438B66A3"/>
    <w:multiLevelType w:val="multilevel"/>
    <w:tmpl w:val="438B66A3"/>
    <w:lvl w:ilvl="0" w:tentative="0">
      <w:start w:val="1"/>
      <w:numFmt w:val="decimal"/>
      <w:pStyle w:val="116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48B11F41"/>
    <w:multiLevelType w:val="singleLevel"/>
    <w:tmpl w:val="48B11F41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FB7"/>
    <w:rsid w:val="00010EC3"/>
    <w:rsid w:val="000135B4"/>
    <w:rsid w:val="00015D3F"/>
    <w:rsid w:val="00016EEB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2BCE"/>
    <w:rsid w:val="000732F3"/>
    <w:rsid w:val="000751EA"/>
    <w:rsid w:val="00076FF3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3EA0"/>
    <w:rsid w:val="0009424C"/>
    <w:rsid w:val="00096ECD"/>
    <w:rsid w:val="00097732"/>
    <w:rsid w:val="00097962"/>
    <w:rsid w:val="000A10B8"/>
    <w:rsid w:val="000A1422"/>
    <w:rsid w:val="000A2577"/>
    <w:rsid w:val="000A2BC9"/>
    <w:rsid w:val="000A2D5F"/>
    <w:rsid w:val="000A3FBC"/>
    <w:rsid w:val="000A5054"/>
    <w:rsid w:val="000A5C90"/>
    <w:rsid w:val="000A709C"/>
    <w:rsid w:val="000B4D43"/>
    <w:rsid w:val="000B6D9C"/>
    <w:rsid w:val="000B751D"/>
    <w:rsid w:val="000C1AB7"/>
    <w:rsid w:val="000C24CD"/>
    <w:rsid w:val="000C39FF"/>
    <w:rsid w:val="000C434A"/>
    <w:rsid w:val="000C628D"/>
    <w:rsid w:val="000C75BC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33EE"/>
    <w:rsid w:val="00144695"/>
    <w:rsid w:val="0014483A"/>
    <w:rsid w:val="001463DD"/>
    <w:rsid w:val="001517EC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244F"/>
    <w:rsid w:val="001D27CA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06B"/>
    <w:rsid w:val="001E7F1F"/>
    <w:rsid w:val="001F0E8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256D9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501"/>
    <w:rsid w:val="00244946"/>
    <w:rsid w:val="00246692"/>
    <w:rsid w:val="00247E18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45F2"/>
    <w:rsid w:val="00275859"/>
    <w:rsid w:val="0027586B"/>
    <w:rsid w:val="0027618B"/>
    <w:rsid w:val="00281A4C"/>
    <w:rsid w:val="002843A0"/>
    <w:rsid w:val="0028652C"/>
    <w:rsid w:val="0029044A"/>
    <w:rsid w:val="0029466A"/>
    <w:rsid w:val="00295F71"/>
    <w:rsid w:val="0029671E"/>
    <w:rsid w:val="00297F03"/>
    <w:rsid w:val="002A10EF"/>
    <w:rsid w:val="002A2398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49DB"/>
    <w:rsid w:val="002E7B1C"/>
    <w:rsid w:val="002F5119"/>
    <w:rsid w:val="002F5438"/>
    <w:rsid w:val="00300274"/>
    <w:rsid w:val="00300953"/>
    <w:rsid w:val="00305296"/>
    <w:rsid w:val="00311F89"/>
    <w:rsid w:val="00314A09"/>
    <w:rsid w:val="00314EF8"/>
    <w:rsid w:val="003158F9"/>
    <w:rsid w:val="00321077"/>
    <w:rsid w:val="00321305"/>
    <w:rsid w:val="0032273B"/>
    <w:rsid w:val="00322773"/>
    <w:rsid w:val="003231FA"/>
    <w:rsid w:val="00325519"/>
    <w:rsid w:val="00327907"/>
    <w:rsid w:val="00327B53"/>
    <w:rsid w:val="003306BC"/>
    <w:rsid w:val="00330BB4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1200"/>
    <w:rsid w:val="0035287E"/>
    <w:rsid w:val="00352CBA"/>
    <w:rsid w:val="00353A90"/>
    <w:rsid w:val="00353F6D"/>
    <w:rsid w:val="00354EA0"/>
    <w:rsid w:val="00357085"/>
    <w:rsid w:val="003577D8"/>
    <w:rsid w:val="00360F65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5862"/>
    <w:rsid w:val="003A76E1"/>
    <w:rsid w:val="003A7D64"/>
    <w:rsid w:val="003A7F72"/>
    <w:rsid w:val="003B2CF4"/>
    <w:rsid w:val="003B318E"/>
    <w:rsid w:val="003B4096"/>
    <w:rsid w:val="003B5893"/>
    <w:rsid w:val="003B5AD4"/>
    <w:rsid w:val="003B772C"/>
    <w:rsid w:val="003C064A"/>
    <w:rsid w:val="003C0E22"/>
    <w:rsid w:val="003C1087"/>
    <w:rsid w:val="003C276F"/>
    <w:rsid w:val="003C3CB1"/>
    <w:rsid w:val="003C42E1"/>
    <w:rsid w:val="003C4CAC"/>
    <w:rsid w:val="003D03F1"/>
    <w:rsid w:val="003D18DF"/>
    <w:rsid w:val="003D4082"/>
    <w:rsid w:val="003D48D2"/>
    <w:rsid w:val="003D56C8"/>
    <w:rsid w:val="003D584A"/>
    <w:rsid w:val="003D5BB4"/>
    <w:rsid w:val="003D7321"/>
    <w:rsid w:val="003E1024"/>
    <w:rsid w:val="003E1536"/>
    <w:rsid w:val="003E386A"/>
    <w:rsid w:val="003E3893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0D94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373E2"/>
    <w:rsid w:val="00440733"/>
    <w:rsid w:val="0044079D"/>
    <w:rsid w:val="0044351A"/>
    <w:rsid w:val="0044665F"/>
    <w:rsid w:val="00446E31"/>
    <w:rsid w:val="00450376"/>
    <w:rsid w:val="0045152A"/>
    <w:rsid w:val="00453AFC"/>
    <w:rsid w:val="0045515F"/>
    <w:rsid w:val="00456453"/>
    <w:rsid w:val="004602F1"/>
    <w:rsid w:val="0046071F"/>
    <w:rsid w:val="00465D28"/>
    <w:rsid w:val="004667BE"/>
    <w:rsid w:val="00471FF6"/>
    <w:rsid w:val="00475FF4"/>
    <w:rsid w:val="0047627A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976A8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3052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6C93"/>
    <w:rsid w:val="00522A82"/>
    <w:rsid w:val="00522FD7"/>
    <w:rsid w:val="00523C70"/>
    <w:rsid w:val="00525DAA"/>
    <w:rsid w:val="00526F01"/>
    <w:rsid w:val="00527CCB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0B2"/>
    <w:rsid w:val="00554645"/>
    <w:rsid w:val="005616FB"/>
    <w:rsid w:val="00561C25"/>
    <w:rsid w:val="00565D20"/>
    <w:rsid w:val="00566DC9"/>
    <w:rsid w:val="00570558"/>
    <w:rsid w:val="0057380C"/>
    <w:rsid w:val="00573DF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7384"/>
    <w:rsid w:val="005A6C22"/>
    <w:rsid w:val="005A7263"/>
    <w:rsid w:val="005B33BD"/>
    <w:rsid w:val="005B34D0"/>
    <w:rsid w:val="005B4930"/>
    <w:rsid w:val="005C0551"/>
    <w:rsid w:val="005C11B4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2CFA"/>
    <w:rsid w:val="00603B27"/>
    <w:rsid w:val="006044A9"/>
    <w:rsid w:val="006047B4"/>
    <w:rsid w:val="00605113"/>
    <w:rsid w:val="006057CE"/>
    <w:rsid w:val="00610614"/>
    <w:rsid w:val="00610B4F"/>
    <w:rsid w:val="00612D05"/>
    <w:rsid w:val="0062241A"/>
    <w:rsid w:val="0062384B"/>
    <w:rsid w:val="006250DB"/>
    <w:rsid w:val="00626D52"/>
    <w:rsid w:val="00637C51"/>
    <w:rsid w:val="00640FC9"/>
    <w:rsid w:val="00643846"/>
    <w:rsid w:val="00644DC7"/>
    <w:rsid w:val="00645152"/>
    <w:rsid w:val="00645273"/>
    <w:rsid w:val="00645294"/>
    <w:rsid w:val="00645B9C"/>
    <w:rsid w:val="00645FBF"/>
    <w:rsid w:val="00650238"/>
    <w:rsid w:val="00651F99"/>
    <w:rsid w:val="006520B9"/>
    <w:rsid w:val="00652A4B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522"/>
    <w:rsid w:val="00680D54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1BFE"/>
    <w:rsid w:val="006C22F9"/>
    <w:rsid w:val="006C30BC"/>
    <w:rsid w:val="006C3FE4"/>
    <w:rsid w:val="006C4C3B"/>
    <w:rsid w:val="006C632C"/>
    <w:rsid w:val="006C634E"/>
    <w:rsid w:val="006D0029"/>
    <w:rsid w:val="006D1AA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4CD0"/>
    <w:rsid w:val="00705ACE"/>
    <w:rsid w:val="00710574"/>
    <w:rsid w:val="00713C60"/>
    <w:rsid w:val="00713FD3"/>
    <w:rsid w:val="007162C5"/>
    <w:rsid w:val="007171ED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4DF5"/>
    <w:rsid w:val="00756472"/>
    <w:rsid w:val="007568D6"/>
    <w:rsid w:val="007576EA"/>
    <w:rsid w:val="00757E70"/>
    <w:rsid w:val="007603C6"/>
    <w:rsid w:val="00761625"/>
    <w:rsid w:val="00761AE2"/>
    <w:rsid w:val="00765A2C"/>
    <w:rsid w:val="007669FB"/>
    <w:rsid w:val="00770B1C"/>
    <w:rsid w:val="007716BF"/>
    <w:rsid w:val="007732ED"/>
    <w:rsid w:val="00775451"/>
    <w:rsid w:val="007758A2"/>
    <w:rsid w:val="007762D0"/>
    <w:rsid w:val="00777208"/>
    <w:rsid w:val="00777795"/>
    <w:rsid w:val="0078068F"/>
    <w:rsid w:val="00786145"/>
    <w:rsid w:val="007864A8"/>
    <w:rsid w:val="00790E2E"/>
    <w:rsid w:val="007915E3"/>
    <w:rsid w:val="0079392E"/>
    <w:rsid w:val="0079521D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B6896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804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53A6"/>
    <w:rsid w:val="00866615"/>
    <w:rsid w:val="00866FD3"/>
    <w:rsid w:val="00872606"/>
    <w:rsid w:val="008729B4"/>
    <w:rsid w:val="0087315D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DDC"/>
    <w:rsid w:val="008F0630"/>
    <w:rsid w:val="008F1528"/>
    <w:rsid w:val="008F3037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2D1A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6319"/>
    <w:rsid w:val="00990EF7"/>
    <w:rsid w:val="00994380"/>
    <w:rsid w:val="009962C2"/>
    <w:rsid w:val="009A1323"/>
    <w:rsid w:val="009A21F1"/>
    <w:rsid w:val="009A3211"/>
    <w:rsid w:val="009A364B"/>
    <w:rsid w:val="009A5BB0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6FC"/>
    <w:rsid w:val="00A57F03"/>
    <w:rsid w:val="00A60385"/>
    <w:rsid w:val="00A626B1"/>
    <w:rsid w:val="00A67A12"/>
    <w:rsid w:val="00A70041"/>
    <w:rsid w:val="00A703EF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086F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240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528"/>
    <w:rsid w:val="00AF38F7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27772"/>
    <w:rsid w:val="00B330E9"/>
    <w:rsid w:val="00B34C64"/>
    <w:rsid w:val="00B34F04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18D4"/>
    <w:rsid w:val="00B62F4E"/>
    <w:rsid w:val="00B65A94"/>
    <w:rsid w:val="00B66CB7"/>
    <w:rsid w:val="00B66E0C"/>
    <w:rsid w:val="00B67A6D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4812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E01"/>
    <w:rsid w:val="00BE209C"/>
    <w:rsid w:val="00BE31E1"/>
    <w:rsid w:val="00BE411E"/>
    <w:rsid w:val="00BE4F37"/>
    <w:rsid w:val="00BE7F30"/>
    <w:rsid w:val="00BF374C"/>
    <w:rsid w:val="00BF48C3"/>
    <w:rsid w:val="00BF4BAF"/>
    <w:rsid w:val="00C007BD"/>
    <w:rsid w:val="00C00AC5"/>
    <w:rsid w:val="00C00C7E"/>
    <w:rsid w:val="00C02089"/>
    <w:rsid w:val="00C0383E"/>
    <w:rsid w:val="00C17C6A"/>
    <w:rsid w:val="00C20248"/>
    <w:rsid w:val="00C217C7"/>
    <w:rsid w:val="00C232C3"/>
    <w:rsid w:val="00C2547C"/>
    <w:rsid w:val="00C27B94"/>
    <w:rsid w:val="00C31F21"/>
    <w:rsid w:val="00C346EC"/>
    <w:rsid w:val="00C36FBD"/>
    <w:rsid w:val="00C40DBA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39B8"/>
    <w:rsid w:val="00C65013"/>
    <w:rsid w:val="00C6632D"/>
    <w:rsid w:val="00C6761C"/>
    <w:rsid w:val="00C70160"/>
    <w:rsid w:val="00C7275D"/>
    <w:rsid w:val="00C74142"/>
    <w:rsid w:val="00C77791"/>
    <w:rsid w:val="00C81187"/>
    <w:rsid w:val="00C8217C"/>
    <w:rsid w:val="00C842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5E87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483D"/>
    <w:rsid w:val="00CC4C4A"/>
    <w:rsid w:val="00CC5851"/>
    <w:rsid w:val="00CC774B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57EA"/>
    <w:rsid w:val="00D56AE6"/>
    <w:rsid w:val="00D57A86"/>
    <w:rsid w:val="00D57C5D"/>
    <w:rsid w:val="00D606A2"/>
    <w:rsid w:val="00D6217B"/>
    <w:rsid w:val="00D621FC"/>
    <w:rsid w:val="00D62E08"/>
    <w:rsid w:val="00D65D41"/>
    <w:rsid w:val="00D71292"/>
    <w:rsid w:val="00D74162"/>
    <w:rsid w:val="00D74510"/>
    <w:rsid w:val="00D8055A"/>
    <w:rsid w:val="00D80755"/>
    <w:rsid w:val="00D80EC6"/>
    <w:rsid w:val="00D8177F"/>
    <w:rsid w:val="00D826FE"/>
    <w:rsid w:val="00D834B1"/>
    <w:rsid w:val="00D90E3C"/>
    <w:rsid w:val="00D91AC2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F8F"/>
    <w:rsid w:val="00DD1085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806"/>
    <w:rsid w:val="00DF7862"/>
    <w:rsid w:val="00E005EA"/>
    <w:rsid w:val="00E012B7"/>
    <w:rsid w:val="00E03F69"/>
    <w:rsid w:val="00E04556"/>
    <w:rsid w:val="00E063FD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27C6"/>
    <w:rsid w:val="00E74BDB"/>
    <w:rsid w:val="00E75605"/>
    <w:rsid w:val="00E75BBE"/>
    <w:rsid w:val="00E77CD7"/>
    <w:rsid w:val="00E80DE2"/>
    <w:rsid w:val="00E84428"/>
    <w:rsid w:val="00E84E0F"/>
    <w:rsid w:val="00E90E73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16BA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24C8F"/>
    <w:rsid w:val="00F30D00"/>
    <w:rsid w:val="00F31506"/>
    <w:rsid w:val="00F32081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2740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95F"/>
    <w:rsid w:val="00F76D51"/>
    <w:rsid w:val="00F8035F"/>
    <w:rsid w:val="00F80FBC"/>
    <w:rsid w:val="00F83007"/>
    <w:rsid w:val="00F9202D"/>
    <w:rsid w:val="00F949C9"/>
    <w:rsid w:val="00F97F91"/>
    <w:rsid w:val="00FA069B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2319"/>
    <w:rsid w:val="00FC2EB9"/>
    <w:rsid w:val="00FC4295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2779E4"/>
    <w:rsid w:val="01AF2C21"/>
    <w:rsid w:val="02276E2E"/>
    <w:rsid w:val="048A48C3"/>
    <w:rsid w:val="05BF33B5"/>
    <w:rsid w:val="071C395D"/>
    <w:rsid w:val="0A5C7401"/>
    <w:rsid w:val="0A884E47"/>
    <w:rsid w:val="0B2B537E"/>
    <w:rsid w:val="0C6241B2"/>
    <w:rsid w:val="0D2B4E23"/>
    <w:rsid w:val="0D912734"/>
    <w:rsid w:val="0E876D2F"/>
    <w:rsid w:val="0EC82FD7"/>
    <w:rsid w:val="0EEA79E8"/>
    <w:rsid w:val="0F791AC7"/>
    <w:rsid w:val="100D2C82"/>
    <w:rsid w:val="10181623"/>
    <w:rsid w:val="10BD1543"/>
    <w:rsid w:val="11720300"/>
    <w:rsid w:val="11A13D65"/>
    <w:rsid w:val="12A820AD"/>
    <w:rsid w:val="1423718A"/>
    <w:rsid w:val="148531F5"/>
    <w:rsid w:val="148F6EC5"/>
    <w:rsid w:val="17D86D23"/>
    <w:rsid w:val="18AF15FD"/>
    <w:rsid w:val="1A943009"/>
    <w:rsid w:val="1B33713D"/>
    <w:rsid w:val="1B59783C"/>
    <w:rsid w:val="1BBF797C"/>
    <w:rsid w:val="1D8551A7"/>
    <w:rsid w:val="1DE32FF0"/>
    <w:rsid w:val="1DEE2CCA"/>
    <w:rsid w:val="2037683E"/>
    <w:rsid w:val="21A715C9"/>
    <w:rsid w:val="223E7710"/>
    <w:rsid w:val="230D5FD1"/>
    <w:rsid w:val="232D6A95"/>
    <w:rsid w:val="23983135"/>
    <w:rsid w:val="23E90160"/>
    <w:rsid w:val="25590EC9"/>
    <w:rsid w:val="26224809"/>
    <w:rsid w:val="26390EA2"/>
    <w:rsid w:val="26A26CEB"/>
    <w:rsid w:val="285E7005"/>
    <w:rsid w:val="299D4A4C"/>
    <w:rsid w:val="2A1902C2"/>
    <w:rsid w:val="2A3653AE"/>
    <w:rsid w:val="2AB020F1"/>
    <w:rsid w:val="2BB548BC"/>
    <w:rsid w:val="2BE80223"/>
    <w:rsid w:val="2C995D0F"/>
    <w:rsid w:val="2CCF45EF"/>
    <w:rsid w:val="2D3E7816"/>
    <w:rsid w:val="2E8E540F"/>
    <w:rsid w:val="2ECA304F"/>
    <w:rsid w:val="302E3043"/>
    <w:rsid w:val="30D974B7"/>
    <w:rsid w:val="333663C1"/>
    <w:rsid w:val="336F7BD6"/>
    <w:rsid w:val="33F35609"/>
    <w:rsid w:val="343C1399"/>
    <w:rsid w:val="34634E47"/>
    <w:rsid w:val="346848DB"/>
    <w:rsid w:val="35484C10"/>
    <w:rsid w:val="354F3A99"/>
    <w:rsid w:val="357B16F3"/>
    <w:rsid w:val="36050FAB"/>
    <w:rsid w:val="371866BF"/>
    <w:rsid w:val="3989643E"/>
    <w:rsid w:val="3A3173ED"/>
    <w:rsid w:val="3A903ADE"/>
    <w:rsid w:val="3AD10001"/>
    <w:rsid w:val="3B076549"/>
    <w:rsid w:val="3C5B75D3"/>
    <w:rsid w:val="3C7823C8"/>
    <w:rsid w:val="3DBC2399"/>
    <w:rsid w:val="3DCC4487"/>
    <w:rsid w:val="3E474521"/>
    <w:rsid w:val="3EB10A10"/>
    <w:rsid w:val="3EC82979"/>
    <w:rsid w:val="41B46B47"/>
    <w:rsid w:val="424B79E0"/>
    <w:rsid w:val="426F63D5"/>
    <w:rsid w:val="434963F7"/>
    <w:rsid w:val="439F612A"/>
    <w:rsid w:val="441344E9"/>
    <w:rsid w:val="445E00D1"/>
    <w:rsid w:val="44842956"/>
    <w:rsid w:val="44B922E9"/>
    <w:rsid w:val="45DC2779"/>
    <w:rsid w:val="465E02D2"/>
    <w:rsid w:val="46841C18"/>
    <w:rsid w:val="46BC5513"/>
    <w:rsid w:val="47F15155"/>
    <w:rsid w:val="495D238E"/>
    <w:rsid w:val="499D4ACB"/>
    <w:rsid w:val="4E822997"/>
    <w:rsid w:val="4E86355F"/>
    <w:rsid w:val="4ED20DFA"/>
    <w:rsid w:val="4F0F5DA2"/>
    <w:rsid w:val="4F397E6D"/>
    <w:rsid w:val="4F54161A"/>
    <w:rsid w:val="4F8F4455"/>
    <w:rsid w:val="504C2BE7"/>
    <w:rsid w:val="51B50E5A"/>
    <w:rsid w:val="51F64303"/>
    <w:rsid w:val="53DE502C"/>
    <w:rsid w:val="55145370"/>
    <w:rsid w:val="554830C1"/>
    <w:rsid w:val="568A3632"/>
    <w:rsid w:val="56B4262E"/>
    <w:rsid w:val="576F2EA8"/>
    <w:rsid w:val="5807041D"/>
    <w:rsid w:val="583F79D3"/>
    <w:rsid w:val="58691989"/>
    <w:rsid w:val="58F960F8"/>
    <w:rsid w:val="599F0979"/>
    <w:rsid w:val="5B5B72F0"/>
    <w:rsid w:val="5C1E1084"/>
    <w:rsid w:val="5EE01EF7"/>
    <w:rsid w:val="60F035C2"/>
    <w:rsid w:val="62274C0B"/>
    <w:rsid w:val="63E45615"/>
    <w:rsid w:val="644A2A1E"/>
    <w:rsid w:val="66A2752A"/>
    <w:rsid w:val="66AF0875"/>
    <w:rsid w:val="681960ED"/>
    <w:rsid w:val="69AD4D95"/>
    <w:rsid w:val="69B54174"/>
    <w:rsid w:val="6A315ABB"/>
    <w:rsid w:val="6A660AE8"/>
    <w:rsid w:val="6A87598F"/>
    <w:rsid w:val="6C086906"/>
    <w:rsid w:val="6C55155E"/>
    <w:rsid w:val="6E1906F3"/>
    <w:rsid w:val="703849D5"/>
    <w:rsid w:val="711712EF"/>
    <w:rsid w:val="71F33817"/>
    <w:rsid w:val="74424C37"/>
    <w:rsid w:val="74B57A97"/>
    <w:rsid w:val="77C81C4C"/>
    <w:rsid w:val="793439F5"/>
    <w:rsid w:val="796E3D99"/>
    <w:rsid w:val="79ED6ADC"/>
    <w:rsid w:val="7A5A739A"/>
    <w:rsid w:val="7B8D7C88"/>
    <w:rsid w:val="7C252C88"/>
    <w:rsid w:val="7DA9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0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2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8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3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6">
    <w:name w:val="Default Paragraph Font"/>
    <w:semiHidden/>
    <w:unhideWhenUsed/>
    <w:qFormat/>
    <w:uiPriority w:val="1"/>
  </w:style>
  <w:style w:type="table" w:default="1" w:styleId="5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qFormat/>
    <w:uiPriority w:val="0"/>
    <w:rPr>
      <w:b/>
      <w:bCs/>
    </w:rPr>
  </w:style>
  <w:style w:type="paragraph" w:styleId="12">
    <w:name w:val="annotation text"/>
    <w:basedOn w:val="1"/>
    <w:link w:val="71"/>
    <w:qFormat/>
    <w:uiPriority w:val="0"/>
    <w:pPr>
      <w:jc w:val="left"/>
    </w:pPr>
  </w:style>
  <w:style w:type="paragraph" w:styleId="13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4">
    <w:name w:val="Normal Indent"/>
    <w:basedOn w:val="1"/>
    <w:link w:val="91"/>
    <w:qFormat/>
    <w:uiPriority w:val="0"/>
    <w:pPr>
      <w:ind w:firstLine="420" w:firstLineChars="200"/>
    </w:pPr>
  </w:style>
  <w:style w:type="paragraph" w:styleId="15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6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7">
    <w:name w:val="Document Map"/>
    <w:basedOn w:val="1"/>
    <w:link w:val="76"/>
    <w:qFormat/>
    <w:uiPriority w:val="0"/>
    <w:pPr>
      <w:shd w:val="clear" w:color="auto" w:fill="000080"/>
    </w:pPr>
  </w:style>
  <w:style w:type="paragraph" w:styleId="18">
    <w:name w:val="Body Text 3"/>
    <w:basedOn w:val="1"/>
    <w:qFormat/>
    <w:uiPriority w:val="0"/>
    <w:rPr>
      <w:rFonts w:ascii="宋体"/>
      <w:sz w:val="24"/>
      <w:szCs w:val="20"/>
    </w:rPr>
  </w:style>
  <w:style w:type="paragraph" w:styleId="19">
    <w:name w:val="Body Text"/>
    <w:basedOn w:val="20"/>
    <w:next w:val="20"/>
    <w:link w:val="90"/>
    <w:qFormat/>
    <w:uiPriority w:val="0"/>
    <w:pPr>
      <w:spacing w:after="12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21">
    <w:name w:val="Body Text Indent"/>
    <w:basedOn w:val="1"/>
    <w:qFormat/>
    <w:uiPriority w:val="0"/>
    <w:pPr>
      <w:spacing w:after="120"/>
      <w:ind w:left="420" w:leftChars="200"/>
    </w:pPr>
  </w:style>
  <w:style w:type="paragraph" w:styleId="22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3">
    <w:name w:val="index 4"/>
    <w:basedOn w:val="1"/>
    <w:next w:val="1"/>
    <w:qFormat/>
    <w:uiPriority w:val="0"/>
    <w:pPr>
      <w:ind w:left="600" w:leftChars="600"/>
    </w:pPr>
  </w:style>
  <w:style w:type="paragraph" w:styleId="24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5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6">
    <w:name w:val="Plain Text"/>
    <w:basedOn w:val="1"/>
    <w:link w:val="97"/>
    <w:qFormat/>
    <w:uiPriority w:val="0"/>
    <w:rPr>
      <w:rFonts w:ascii="Courier New" w:hAnsi="Courier New"/>
      <w:szCs w:val="20"/>
    </w:rPr>
  </w:style>
  <w:style w:type="paragraph" w:styleId="27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8">
    <w:name w:val="Date"/>
    <w:basedOn w:val="1"/>
    <w:next w:val="1"/>
    <w:qFormat/>
    <w:uiPriority w:val="0"/>
    <w:rPr>
      <w:sz w:val="24"/>
      <w:szCs w:val="20"/>
    </w:rPr>
  </w:style>
  <w:style w:type="paragraph" w:styleId="2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0">
    <w:name w:val="Balloon Text"/>
    <w:basedOn w:val="1"/>
    <w:qFormat/>
    <w:uiPriority w:val="0"/>
    <w:rPr>
      <w:sz w:val="18"/>
      <w:szCs w:val="18"/>
    </w:rPr>
  </w:style>
  <w:style w:type="paragraph" w:styleId="3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2">
    <w:name w:val="header"/>
    <w:basedOn w:val="1"/>
    <w:link w:val="8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4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5">
    <w:name w:val="Subtitle"/>
    <w:basedOn w:val="1"/>
    <w:next w:val="1"/>
    <w:link w:val="82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6">
    <w:name w:val="footnote text"/>
    <w:basedOn w:val="1"/>
    <w:qFormat/>
    <w:uiPriority w:val="0"/>
    <w:rPr>
      <w:sz w:val="20"/>
      <w:szCs w:val="20"/>
    </w:rPr>
  </w:style>
  <w:style w:type="paragraph" w:styleId="37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8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9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0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41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4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5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character" w:styleId="47">
    <w:name w:val="Strong"/>
    <w:qFormat/>
    <w:uiPriority w:val="22"/>
    <w:rPr>
      <w:b/>
      <w:bCs/>
    </w:rPr>
  </w:style>
  <w:style w:type="character" w:styleId="48">
    <w:name w:val="page number"/>
    <w:basedOn w:val="46"/>
    <w:qFormat/>
    <w:uiPriority w:val="0"/>
  </w:style>
  <w:style w:type="character" w:styleId="49">
    <w:name w:val="FollowedHyperlink"/>
    <w:qFormat/>
    <w:uiPriority w:val="0"/>
    <w:rPr>
      <w:color w:val="000000"/>
      <w:u w:val="none"/>
    </w:rPr>
  </w:style>
  <w:style w:type="character" w:styleId="50">
    <w:name w:val="Emphasis"/>
    <w:qFormat/>
    <w:uiPriority w:val="0"/>
    <w:rPr>
      <w:i/>
      <w:iCs/>
    </w:rPr>
  </w:style>
  <w:style w:type="character" w:styleId="51">
    <w:name w:val="Hyperlink"/>
    <w:qFormat/>
    <w:uiPriority w:val="0"/>
    <w:rPr>
      <w:color w:val="000000"/>
      <w:u w:val="none"/>
    </w:rPr>
  </w:style>
  <w:style w:type="character" w:styleId="52">
    <w:name w:val="annotation reference"/>
    <w:qFormat/>
    <w:uiPriority w:val="0"/>
    <w:rPr>
      <w:sz w:val="21"/>
      <w:szCs w:val="21"/>
    </w:rPr>
  </w:style>
  <w:style w:type="character" w:styleId="53">
    <w:name w:val="footnote reference"/>
    <w:qFormat/>
    <w:uiPriority w:val="0"/>
    <w:rPr>
      <w:vertAlign w:val="superscript"/>
    </w:rPr>
  </w:style>
  <w:style w:type="table" w:styleId="55">
    <w:name w:val="Table Grid"/>
    <w:basedOn w:val="5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6">
    <w:name w:val="textcontents"/>
    <w:qFormat/>
    <w:uiPriority w:val="0"/>
    <w:rPr>
      <w:rFonts w:cs="Times New Roman"/>
    </w:rPr>
  </w:style>
  <w:style w:type="character" w:customStyle="1" w:styleId="57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8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9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0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1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2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3">
    <w:name w:val="浅色底纹 - 强调文字颜色 2 Char"/>
    <w:link w:val="64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4">
    <w:name w:val="浅色底纹 - 强调文字颜色 21"/>
    <w:basedOn w:val="1"/>
    <w:next w:val="1"/>
    <w:link w:val="63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5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日期 Char1"/>
    <w:qFormat/>
    <w:uiPriority w:val="0"/>
    <w:rPr>
      <w:kern w:val="2"/>
      <w:sz w:val="21"/>
      <w:szCs w:val="22"/>
    </w:rPr>
  </w:style>
  <w:style w:type="character" w:customStyle="1" w:styleId="67">
    <w:name w:val="彩色网格 - 强调文字颜色 1 Char"/>
    <w:link w:val="68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8">
    <w:name w:val="彩色网格 - 强调文字颜色 11"/>
    <w:basedOn w:val="1"/>
    <w:next w:val="1"/>
    <w:link w:val="67"/>
    <w:qFormat/>
    <w:uiPriority w:val="0"/>
    <w:rPr>
      <w:i/>
      <w:iCs/>
      <w:color w:val="000000"/>
      <w:szCs w:val="22"/>
    </w:rPr>
  </w:style>
  <w:style w:type="character" w:customStyle="1" w:styleId="69">
    <w:name w:val="标题5 Char Char"/>
    <w:link w:val="70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0">
    <w:name w:val="标题5"/>
    <w:basedOn w:val="4"/>
    <w:link w:val="69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1">
    <w:name w:val="批注文字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2">
    <w:name w:val="标题4 Char Char"/>
    <w:link w:val="73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3">
    <w:name w:val="标题4"/>
    <w:basedOn w:val="3"/>
    <w:next w:val="23"/>
    <w:link w:val="72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4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5">
    <w:name w:val="明显强调1"/>
    <w:qFormat/>
    <w:uiPriority w:val="0"/>
    <w:rPr>
      <w:b/>
      <w:bCs/>
      <w:i/>
      <w:iCs/>
      <w:color w:val="4F81BD"/>
    </w:rPr>
  </w:style>
  <w:style w:type="character" w:customStyle="1" w:styleId="76">
    <w:name w:val="文档结构图 Char"/>
    <w:link w:val="17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7">
    <w:name w:val="Char Char9"/>
    <w:qFormat/>
    <w:uiPriority w:val="0"/>
    <w:rPr>
      <w:kern w:val="2"/>
      <w:sz w:val="21"/>
      <w:szCs w:val="22"/>
    </w:rPr>
  </w:style>
  <w:style w:type="character" w:customStyle="1" w:styleId="78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9">
    <w:name w:val="正文文本 Char1"/>
    <w:qFormat/>
    <w:uiPriority w:val="0"/>
    <w:rPr>
      <w:kern w:val="2"/>
      <w:sz w:val="21"/>
      <w:szCs w:val="22"/>
    </w:rPr>
  </w:style>
  <w:style w:type="character" w:customStyle="1" w:styleId="80">
    <w:name w:val="页眉 Char"/>
    <w:link w:val="3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不明显参考1"/>
    <w:qFormat/>
    <w:uiPriority w:val="0"/>
    <w:rPr>
      <w:smallCaps/>
      <w:color w:val="C0504D"/>
      <w:u w:val="single"/>
    </w:rPr>
  </w:style>
  <w:style w:type="character" w:customStyle="1" w:styleId="82">
    <w:name w:val="副标题 Char"/>
    <w:link w:val="35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3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4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5">
    <w:name w:val="批注框文本 Char1"/>
    <w:qFormat/>
    <w:uiPriority w:val="0"/>
    <w:rPr>
      <w:kern w:val="2"/>
      <w:sz w:val="18"/>
      <w:szCs w:val="18"/>
    </w:rPr>
  </w:style>
  <w:style w:type="character" w:customStyle="1" w:styleId="86">
    <w:name w:val="书籍标题1"/>
    <w:qFormat/>
    <w:uiPriority w:val="0"/>
    <w:rPr>
      <w:b/>
      <w:bCs/>
      <w:smallCaps/>
      <w:spacing w:val="5"/>
    </w:rPr>
  </w:style>
  <w:style w:type="character" w:customStyle="1" w:styleId="87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8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9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90">
    <w:name w:val="正文文本 Char"/>
    <w:link w:val="19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正文缩进 Char"/>
    <w:link w:val="14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2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3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4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6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纯文本 Char"/>
    <w:link w:val="26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8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9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0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1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2">
    <w:name w:val="不明显强调1"/>
    <w:qFormat/>
    <w:uiPriority w:val="0"/>
    <w:rPr>
      <w:i/>
      <w:iCs/>
      <w:color w:val="808080"/>
    </w:rPr>
  </w:style>
  <w:style w:type="character" w:customStyle="1" w:styleId="103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4">
    <w:name w:val="ask-title"/>
    <w:basedOn w:val="46"/>
    <w:qFormat/>
    <w:uiPriority w:val="0"/>
  </w:style>
  <w:style w:type="character" w:customStyle="1" w:styleId="105">
    <w:name w:val="font161"/>
    <w:qFormat/>
    <w:uiPriority w:val="0"/>
    <w:rPr>
      <w:b/>
      <w:bCs/>
      <w:sz w:val="32"/>
      <w:szCs w:val="32"/>
    </w:rPr>
  </w:style>
  <w:style w:type="character" w:customStyle="1" w:styleId="106">
    <w:name w:val="apple-converted-space"/>
    <w:basedOn w:val="46"/>
    <w:qFormat/>
    <w:uiPriority w:val="0"/>
  </w:style>
  <w:style w:type="character" w:customStyle="1" w:styleId="107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9">
    <w:name w:val="样式1"/>
    <w:basedOn w:val="4"/>
    <w:qFormat/>
    <w:uiPriority w:val="0"/>
    <w:rPr>
      <w:rFonts w:eastAsia="Arial"/>
    </w:rPr>
  </w:style>
  <w:style w:type="paragraph" w:customStyle="1" w:styleId="110">
    <w:name w:val="样式4"/>
    <w:basedOn w:val="4"/>
    <w:qFormat/>
    <w:uiPriority w:val="0"/>
    <w:rPr>
      <w:rFonts w:eastAsia="Arial"/>
    </w:rPr>
  </w:style>
  <w:style w:type="paragraph" w:customStyle="1" w:styleId="111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2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3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默认段落字体 Para Char Char Char Char"/>
    <w:basedOn w:val="1"/>
    <w:qFormat/>
    <w:uiPriority w:val="0"/>
  </w:style>
  <w:style w:type="paragraph" w:customStyle="1" w:styleId="115">
    <w:name w:val="样式2"/>
    <w:basedOn w:val="4"/>
    <w:qFormat/>
    <w:uiPriority w:val="0"/>
  </w:style>
  <w:style w:type="paragraph" w:customStyle="1" w:styleId="116">
    <w:name w:val="XW编号正文"/>
    <w:basedOn w:val="117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7">
    <w:name w:val="XW正文"/>
    <w:basedOn w:val="21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8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9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20">
    <w:name w:val="目录标题"/>
    <w:basedOn w:val="2"/>
    <w:next w:val="1"/>
    <w:qFormat/>
    <w:uiPriority w:val="0"/>
    <w:pPr>
      <w:outlineLvl w:val="9"/>
    </w:pPr>
  </w:style>
  <w:style w:type="paragraph" w:customStyle="1" w:styleId="121">
    <w:name w:val="A2"/>
    <w:basedOn w:val="26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2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3">
    <w:name w:val="A3"/>
    <w:basedOn w:val="124"/>
    <w:qFormat/>
    <w:uiPriority w:val="0"/>
    <w:rPr>
      <w:sz w:val="21"/>
    </w:rPr>
  </w:style>
  <w:style w:type="paragraph" w:customStyle="1" w:styleId="124">
    <w:name w:val="A1"/>
    <w:basedOn w:val="26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6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8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9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30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1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2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3">
    <w:name w:val="样式3"/>
    <w:basedOn w:val="4"/>
    <w:qFormat/>
    <w:uiPriority w:val="0"/>
    <w:rPr>
      <w:rFonts w:eastAsia="Arial"/>
    </w:rPr>
  </w:style>
  <w:style w:type="paragraph" w:customStyle="1" w:styleId="134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5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6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7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8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9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40">
    <w:name w:val="Char"/>
    <w:basedOn w:val="1"/>
    <w:qFormat/>
    <w:uiPriority w:val="0"/>
  </w:style>
  <w:style w:type="paragraph" w:customStyle="1" w:styleId="141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2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3">
    <w:name w:val="菲页(卷)"/>
    <w:basedOn w:val="2"/>
    <w:next w:val="122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4">
    <w:name w:val="表内文字"/>
    <w:basedOn w:val="26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5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6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7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8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9">
    <w:name w:val="1"/>
    <w:basedOn w:val="1"/>
    <w:next w:val="1"/>
    <w:qFormat/>
    <w:uiPriority w:val="0"/>
  </w:style>
  <w:style w:type="paragraph" w:customStyle="1" w:styleId="150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1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2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12</Pages>
  <Words>634</Words>
  <Characters>3620</Characters>
  <Lines>30</Lines>
  <Paragraphs>8</Paragraphs>
  <TotalTime>1</TotalTime>
  <ScaleCrop>false</ScaleCrop>
  <LinksUpToDate>false</LinksUpToDate>
  <CharactersWithSpaces>4246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2022-10-25T11:25:00Z</dcterms:created>
  <dc:creator>e510</dc:creator>
  <cp:lastModifiedBy>Administrator</cp:lastModifiedBy>
  <cp:lastPrinted>2019-05-06T09:43:00Z</cp:lastPrinted>
  <dcterms:modified xsi:type="dcterms:W3CDTF">2023-03-30T03:11:13Z</dcterms:modified>
  <dc:title>中华人民共和国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A613DD1B75C44F42BCCFD94376B39B69</vt:lpwstr>
  </property>
</Properties>
</file>