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eastAsia="zh-CN"/>
        </w:rPr>
        <w:t>全鑫矿业项目商品混凝土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="仿宋" w:hAnsi="仿宋" w:eastAsia="仿宋" w:cs="仿宋_GB2312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382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叶明陵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）、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任凡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</w:t>
      </w:r>
      <w:r>
        <w:rPr>
          <w:rFonts w:hint="eastAsia" w:ascii="仿宋" w:hAnsi="仿宋" w:eastAsia="仿宋" w:cs="仿宋_GB2312"/>
          <w:sz w:val="28"/>
          <w:szCs w:val="28"/>
        </w:rPr>
        <w:t>黄山大道南段879号主楼四楼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：详见报价单。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叶明陵（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）、任凡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  <w:lang w:eastAsia="zh-CN"/>
        </w:rPr>
        <w:t>壹拾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</w:rPr>
        <w:t>万元整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；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投标文件内附汇款凭证复印件。如投标人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在铜冠建安公司（含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铜陵铜冠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建安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公司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第二事业部全鑫矿业项目商品混凝土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材料TGJA-WZ-202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382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或以货款抵扣。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 xml:space="preserve"> 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七、</w:t>
      </w:r>
      <w:r>
        <w:rPr>
          <w:rFonts w:hint="eastAsia" w:ascii="仿宋" w:hAnsi="仿宋" w:eastAsia="仿宋" w:cs="仿宋_GB2312"/>
          <w:b/>
          <w:sz w:val="36"/>
          <w:szCs w:val="36"/>
        </w:rPr>
        <w:t>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材料质量要求：符合</w:t>
      </w:r>
      <w:r>
        <w:rPr>
          <w:rFonts w:ascii="仿宋" w:hAnsi="仿宋" w:eastAsia="仿宋" w:cs="仿宋_GB2312"/>
          <w:sz w:val="28"/>
          <w:szCs w:val="28"/>
          <w:u w:val="none"/>
        </w:rPr>
        <w:t>《</w:t>
      </w:r>
      <w:r>
        <w:rPr>
          <w:rFonts w:hint="eastAsia" w:ascii="仿宋" w:hAnsi="仿宋" w:eastAsia="仿宋" w:cs="仿宋_GB2312"/>
          <w:sz w:val="28"/>
          <w:szCs w:val="28"/>
          <w:u w:val="none"/>
          <w:lang w:eastAsia="zh-CN"/>
        </w:rPr>
        <w:t>预拌混凝土</w:t>
      </w:r>
      <w:r>
        <w:rPr>
          <w:rFonts w:ascii="仿宋" w:hAnsi="仿宋" w:eastAsia="仿宋" w:cs="仿宋_GB2312"/>
          <w:sz w:val="28"/>
          <w:szCs w:val="28"/>
          <w:u w:val="none"/>
        </w:rPr>
        <w:t>》GB/</w:t>
      </w:r>
      <w:r>
        <w:rPr>
          <w:rFonts w:hint="eastAsia" w:ascii="仿宋" w:hAnsi="仿宋" w:eastAsia="仿宋" w:cs="仿宋_GB2312"/>
          <w:sz w:val="28"/>
          <w:szCs w:val="28"/>
          <w:u w:val="none"/>
          <w:lang w:val="en-US" w:eastAsia="zh-CN"/>
        </w:rPr>
        <w:t>T1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none"/>
          <w:lang w:val="en-US" w:eastAsia="zh-CN"/>
        </w:rPr>
        <w:t>902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-201</w:t>
      </w:r>
      <w:r>
        <w:rPr>
          <w:rFonts w:hint="eastAsia" w:ascii="仿宋" w:hAnsi="仿宋" w:eastAsia="仿宋" w:cs="仿宋_GB2312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none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none"/>
        </w:rPr>
      </w:pPr>
      <w:r>
        <w:rPr>
          <w:rFonts w:hint="eastAsia" w:ascii="仿宋" w:hAnsi="仿宋" w:eastAsia="仿宋" w:cs="仿宋_GB2312"/>
          <w:sz w:val="28"/>
          <w:szCs w:val="28"/>
          <w:u w:val="none"/>
        </w:rPr>
        <w:t>（2）投标人如若中标，提供的所有材料必须符合技术指标要求，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u w:val="non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none"/>
        </w:rPr>
      </w:pPr>
      <w:r>
        <w:rPr>
          <w:rFonts w:hint="eastAsia" w:ascii="仿宋" w:hAnsi="仿宋" w:eastAsia="仿宋" w:cs="仿宋_GB2312"/>
          <w:sz w:val="28"/>
          <w:szCs w:val="28"/>
          <w:u w:val="none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none"/>
        </w:rPr>
      </w:pPr>
      <w:r>
        <w:rPr>
          <w:rFonts w:hint="eastAsia" w:ascii="仿宋" w:hAnsi="仿宋" w:eastAsia="仿宋" w:cs="仿宋_GB2312"/>
          <w:sz w:val="28"/>
          <w:szCs w:val="28"/>
          <w:u w:val="none"/>
        </w:rPr>
        <w:t>（4）按招标人提供</w:t>
      </w:r>
      <w:r>
        <w:rPr>
          <w:rFonts w:hint="eastAsia" w:ascii="仿宋" w:hAnsi="仿宋" w:eastAsia="仿宋" w:cs="仿宋_GB2312"/>
          <w:sz w:val="28"/>
          <w:szCs w:val="28"/>
          <w:u w:val="none"/>
          <w:lang w:eastAsia="zh-CN"/>
        </w:rPr>
        <w:t>计划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生产，分批发货；每批发货前，招标人提前</w:t>
      </w:r>
      <w:r>
        <w:rPr>
          <w:rFonts w:hint="eastAsia" w:ascii="仿宋" w:hAnsi="仿宋" w:eastAsia="仿宋" w:cs="仿宋_GB2312"/>
          <w:sz w:val="28"/>
          <w:szCs w:val="28"/>
          <w:u w:val="non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天通知具体发货明细。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none"/>
        </w:rPr>
      </w:pPr>
      <w:r>
        <w:rPr>
          <w:rFonts w:hint="eastAsia" w:ascii="仿宋" w:hAnsi="仿宋" w:eastAsia="仿宋" w:cs="仿宋_GB2312"/>
          <w:sz w:val="28"/>
          <w:szCs w:val="28"/>
          <w:u w:val="none"/>
        </w:rPr>
        <w:t>（5）因材料产品质量不合格所造成的相关质量问题，没收中标人履约保证金，同时对相关质量问题所引发的返工、耽误工期、对业主单位的生产影响等所有相关损失，中标人承担相应责任。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2、付款方式</w:t>
      </w:r>
    </w:p>
    <w:p>
      <w:pPr>
        <w:spacing w:line="560" w:lineRule="exact"/>
        <w:ind w:firstLine="638" w:firstLineChars="228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根据到货情况，货到验收合格后开具发票，入账次月支付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0%，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当年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春节支付至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0%，剩余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0%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次年度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付清。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none"/>
          <w:shd w:val="clear" w:color="auto" w:fill="FFFFFF"/>
        </w:rPr>
        <w:t>货款以对公转账方式支付至供方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none"/>
          <w:shd w:val="clear" w:color="auto" w:fill="FFFFFF"/>
          <w:lang w:eastAsia="zh-CN"/>
        </w:rPr>
        <w:t>对公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none"/>
          <w:shd w:val="clear" w:color="auto" w:fill="FFFFFF"/>
        </w:rPr>
        <w:t>账户，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none"/>
          <w:shd w:val="clear" w:color="auto" w:fill="FFFFFF"/>
          <w:lang w:eastAsia="zh-CN"/>
        </w:rPr>
        <w:t>支付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none"/>
          <w:shd w:val="clear" w:color="auto" w:fill="FFFFFF"/>
        </w:rPr>
        <w:t>电汇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none"/>
          <w:shd w:val="clear" w:color="auto" w:fill="FFFFFF"/>
          <w:lang w:eastAsia="zh-CN"/>
        </w:rPr>
        <w:t>或不超过合同总金额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none"/>
          <w:shd w:val="clear" w:color="auto" w:fill="FFFFFF"/>
          <w:lang w:val="en-US" w:eastAsia="zh-CN"/>
        </w:rPr>
        <w:t>50%的6个月内银行电子承兑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none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（1）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  <w:t>报价为含税（税率必须注明）、含运费、含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装卸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  <w:t>价。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一票制结算。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  <w:t>（2）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混凝土卸货所需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  <w:t>机械、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车辆、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  <w:t>人工均由供应方提供，并包含在报价中。</w:t>
      </w:r>
    </w:p>
    <w:p>
      <w:pPr>
        <w:ind w:firstLine="638" w:firstLineChars="22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u w:val="none"/>
        </w:rPr>
        <w:t>（3）各投标单位在投标报价前应仔细审阅招标公告、报价表及报价说明等与此次报价相</w:t>
      </w:r>
      <w:r>
        <w:rPr>
          <w:rFonts w:hint="eastAsia" w:ascii="仿宋" w:hAnsi="仿宋" w:eastAsia="仿宋" w:cs="仿宋_GB2312"/>
          <w:sz w:val="28"/>
          <w:szCs w:val="28"/>
        </w:rPr>
        <w:t>关的所有资料。报价要谨慎，一旦中标，视为理解并考虑了</w:t>
      </w:r>
      <w:r>
        <w:rPr>
          <w:rFonts w:hint="eastAsia" w:ascii="仿宋" w:hAnsi="仿宋" w:eastAsia="仿宋" w:cs="仿宋"/>
          <w:sz w:val="28"/>
          <w:szCs w:val="28"/>
        </w:rPr>
        <w:t>我公司一切要求的报价，不得以任何理由变更。</w:t>
      </w:r>
    </w:p>
    <w:p>
      <w:pPr>
        <w:ind w:firstLine="638" w:firstLineChars="22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</w:t>
      </w:r>
      <w:r>
        <w:rPr>
          <w:rFonts w:hint="eastAsia" w:ascii="仿宋" w:hAnsi="仿宋" w:eastAsia="仿宋" w:cs="仿宋"/>
          <w:sz w:val="28"/>
          <w:szCs w:val="28"/>
        </w:rPr>
        <w:t>6月1日宣城市海螺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散装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42.5</w:t>
      </w:r>
      <w:r>
        <w:rPr>
          <w:rFonts w:hint="eastAsia" w:ascii="仿宋" w:hAnsi="仿宋" w:eastAsia="仿宋" w:cs="仿宋"/>
          <w:sz w:val="28"/>
          <w:szCs w:val="28"/>
        </w:rPr>
        <w:t>水泥挂牌价作为基准挂牌价，对各种规格混凝土进行报价，投标方需提供经宣城市海螺水泥公司确认的宣城市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</w:t>
      </w:r>
      <w:r>
        <w:rPr>
          <w:rFonts w:hint="eastAsia" w:ascii="仿宋" w:hAnsi="仿宋" w:eastAsia="仿宋" w:cs="仿宋"/>
          <w:sz w:val="28"/>
          <w:szCs w:val="28"/>
        </w:rPr>
        <w:t>6月1日海螺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散装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42.5</w:t>
      </w:r>
      <w:r>
        <w:rPr>
          <w:rFonts w:hint="eastAsia" w:ascii="仿宋" w:hAnsi="仿宋" w:eastAsia="仿宋" w:cs="仿宋"/>
          <w:sz w:val="28"/>
          <w:szCs w:val="28"/>
        </w:rPr>
        <w:t>水泥挂牌价确认函。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）调价机制：</w:t>
      </w:r>
      <w:r>
        <w:rPr>
          <w:rFonts w:hint="eastAsia" w:ascii="仿宋" w:hAnsi="仿宋" w:eastAsia="仿宋" w:cs="仿宋"/>
          <w:sz w:val="28"/>
          <w:szCs w:val="28"/>
        </w:rPr>
        <w:t>C10----C35按供货当日宣城市海螺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散装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42.5</w:t>
      </w:r>
      <w:r>
        <w:rPr>
          <w:rFonts w:hint="eastAsia" w:ascii="仿宋" w:hAnsi="仿宋" w:eastAsia="仿宋" w:cs="仿宋"/>
          <w:sz w:val="28"/>
          <w:szCs w:val="28"/>
        </w:rPr>
        <w:t>水泥挂牌价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sz w:val="28"/>
          <w:szCs w:val="28"/>
        </w:rPr>
        <w:t>投标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文件中确认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2023年6月1日</w:t>
      </w:r>
      <w:r>
        <w:rPr>
          <w:rFonts w:hint="eastAsia" w:ascii="仿宋" w:hAnsi="仿宋" w:eastAsia="仿宋" w:cs="仿宋"/>
          <w:sz w:val="28"/>
          <w:szCs w:val="28"/>
        </w:rPr>
        <w:t>宣城市海螺水泥的基准挂牌价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上涨或下跌金额的30%进行调价。C40----C45按供货当日宣城市海螺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散装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42.5</w:t>
      </w:r>
      <w:r>
        <w:rPr>
          <w:rFonts w:hint="eastAsia" w:ascii="仿宋" w:hAnsi="仿宋" w:eastAsia="仿宋" w:cs="仿宋"/>
          <w:sz w:val="28"/>
          <w:szCs w:val="28"/>
        </w:rPr>
        <w:t>水泥挂牌价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sz w:val="28"/>
          <w:szCs w:val="28"/>
        </w:rPr>
        <w:t>投标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文件中确认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2023年6月1日</w:t>
      </w:r>
      <w:r>
        <w:rPr>
          <w:rFonts w:hint="eastAsia" w:ascii="仿宋" w:hAnsi="仿宋" w:eastAsia="仿宋" w:cs="仿宋"/>
          <w:sz w:val="28"/>
          <w:szCs w:val="28"/>
        </w:rPr>
        <w:t>宣城市海螺水泥的基准挂牌价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上涨或下跌金额的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0%进行调价。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投标方应对如下项目进行报价：泵送费、P6、P8、细石、膨胀、早强防冻、抗裂纤维。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在报价单备注栏中注明。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、收货人</w:t>
      </w:r>
    </w:p>
    <w:p>
      <w:pPr>
        <w:ind w:firstLine="638" w:firstLineChars="228"/>
        <w:rPr>
          <w:rFonts w:hint="default" w:ascii="仿宋" w:hAnsi="仿宋" w:eastAsia="仿宋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全鑫矿业项目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施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工现场。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915" w:firstLineChars="327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按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现场签字确认的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到货数量进行验收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、结算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九、</w:t>
      </w:r>
      <w:r>
        <w:rPr>
          <w:rFonts w:hint="eastAsia" w:ascii="仿宋" w:hAnsi="仿宋" w:eastAsia="仿宋" w:cs="仿宋_GB2312"/>
          <w:b/>
          <w:sz w:val="36"/>
          <w:szCs w:val="36"/>
        </w:rPr>
        <w:t>评标及中标履约要求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numPr>
          <w:ilvl w:val="0"/>
          <w:numId w:val="0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十、</w:t>
      </w:r>
      <w:r>
        <w:rPr>
          <w:rFonts w:hint="eastAsia" w:ascii="仿宋" w:hAnsi="仿宋" w:eastAsia="仿宋" w:cs="仿宋_GB2312"/>
          <w:b/>
          <w:sz w:val="36"/>
          <w:szCs w:val="36"/>
        </w:rPr>
        <w:t>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default" w:ascii="仿宋_GB2312" w:eastAsia="仿宋_GB2312"/>
          <w:b/>
          <w:i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382</w:t>
      </w:r>
    </w:p>
    <w:tbl>
      <w:tblPr>
        <w:tblStyle w:val="54"/>
        <w:tblW w:w="15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2042"/>
        <w:gridCol w:w="2876"/>
        <w:gridCol w:w="809"/>
        <w:gridCol w:w="1064"/>
        <w:gridCol w:w="180"/>
        <w:gridCol w:w="1150"/>
        <w:gridCol w:w="1702"/>
        <w:gridCol w:w="708"/>
        <w:gridCol w:w="1121"/>
        <w:gridCol w:w="232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4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物料名称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型号规格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单位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数量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单价</w:t>
            </w:r>
            <w:r>
              <w:rPr>
                <w:rFonts w:hint="eastAsia" w:ascii="仿宋_GB2312" w:eastAsia="仿宋_GB2312"/>
                <w:b w:val="0"/>
                <w:bCs w:val="0"/>
                <w:color w:val="FF0000"/>
                <w:sz w:val="24"/>
              </w:rPr>
              <w:t>＊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总价</w:t>
            </w:r>
            <w:r>
              <w:rPr>
                <w:rFonts w:hint="eastAsia" w:ascii="仿宋_GB2312" w:eastAsia="仿宋_GB2312"/>
                <w:b w:val="0"/>
                <w:bCs w:val="0"/>
                <w:color w:val="FF0000"/>
                <w:sz w:val="24"/>
              </w:rPr>
              <w:t>＊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税率（注明税率及是否为增值税专业发票）</w:t>
            </w:r>
            <w:r>
              <w:rPr>
                <w:rFonts w:hint="eastAsia" w:ascii="仿宋_GB2312" w:eastAsia="仿宋_GB2312"/>
                <w:b w:val="0"/>
                <w:bCs w:val="0"/>
                <w:color w:val="FF0000"/>
                <w:sz w:val="24"/>
              </w:rPr>
              <w:t>＊</w:t>
            </w: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商品混凝土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C15泵送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72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泵送费：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P6：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P8: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细石：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膨胀：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早强防冻：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抗裂纤维：</w:t>
            </w:r>
          </w:p>
          <w:p>
            <w:pPr>
              <w:widowControl/>
              <w:ind w:firstLine="1440" w:firstLineChars="6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单位：元/立方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商品混凝土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C20泵送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1200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7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商品混凝土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C25泵送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4000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7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商品混凝土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C30泵送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5000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7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商品混凝土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C35泵送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3600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7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商品混凝土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C40泵送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7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商品混凝土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C45泵送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7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5460" w:type="dxa"/>
            <w:gridSpan w:val="1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3、报价均为含税（税率必须注明）、含运费价，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含运费、含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装卸一票制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4、本次招标量为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预估</w:t>
            </w:r>
            <w:r>
              <w:rPr>
                <w:rFonts w:hint="eastAsia" w:ascii="仿宋_GB2312" w:eastAsia="仿宋_GB2312"/>
                <w:sz w:val="24"/>
              </w:rPr>
              <w:t>量，实际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结算数</w:t>
            </w:r>
            <w:r>
              <w:rPr>
                <w:rFonts w:hint="eastAsia" w:ascii="仿宋_GB2312" w:eastAsia="仿宋_GB2312"/>
                <w:sz w:val="24"/>
              </w:rPr>
              <w:t>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以实际送货量为准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195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74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525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195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4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195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4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1"/>
                            <w:rPr>
                              <w:rStyle w:val="4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rPr>
                        <w:rStyle w:val="48"/>
                      </w:rPr>
                    </w:pPr>
                    <w:r>
                      <w:fldChar w:fldCharType="begin"/>
                    </w:r>
                    <w:r>
                      <w:rPr>
                        <w:rStyle w:val="4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2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32A329F"/>
    <w:rsid w:val="048A48C3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1A715C9"/>
    <w:rsid w:val="223E7710"/>
    <w:rsid w:val="23983135"/>
    <w:rsid w:val="23E90160"/>
    <w:rsid w:val="25590EC9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2F5D07A2"/>
    <w:rsid w:val="302E3043"/>
    <w:rsid w:val="30D974B7"/>
    <w:rsid w:val="31D7157D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8D57D4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C805F73"/>
    <w:rsid w:val="5EE01EF7"/>
    <w:rsid w:val="5F6E47D0"/>
    <w:rsid w:val="60F035C2"/>
    <w:rsid w:val="62274C0B"/>
    <w:rsid w:val="63E45615"/>
    <w:rsid w:val="644A2A1E"/>
    <w:rsid w:val="681960ED"/>
    <w:rsid w:val="69AD4D95"/>
    <w:rsid w:val="69B54174"/>
    <w:rsid w:val="6A315ABB"/>
    <w:rsid w:val="6A660AE8"/>
    <w:rsid w:val="6A87598F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  <w:rsid w:val="7CC0160E"/>
    <w:rsid w:val="7DA9224E"/>
    <w:rsid w:val="7E4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1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1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6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0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3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6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6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14</Pages>
  <Words>3828</Words>
  <Characters>4363</Characters>
  <Lines>33</Lines>
  <Paragraphs>9</Paragraphs>
  <TotalTime>2</TotalTime>
  <ScaleCrop>false</ScaleCrop>
  <LinksUpToDate>false</LinksUpToDate>
  <CharactersWithSpaces>4459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e510</dc:creator>
  <cp:lastModifiedBy>Administrator</cp:lastModifiedBy>
  <cp:lastPrinted>2019-05-06T09:43:00Z</cp:lastPrinted>
  <dcterms:modified xsi:type="dcterms:W3CDTF">2023-06-02T03:11:30Z</dcterms:modified>
  <dc:title>中华人民共和国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