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第二事业部研发基地项目灯具</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TGJA-WZ-202387</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2023年6月</w:t>
      </w:r>
      <w:r>
        <w:rPr>
          <w:rFonts w:hint="eastAsia" w:ascii="仿宋" w:hAnsi="仿宋" w:eastAsia="仿宋" w:cs="仿宋_GB2312"/>
          <w:b/>
          <w:bCs/>
          <w:sz w:val="32"/>
          <w:szCs w:val="32"/>
          <w:u w:val="single"/>
          <w:lang w:val="en-US" w:eastAsia="zh-CN"/>
        </w:rPr>
        <w:t>13</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2023年6月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2023年6月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2023年6月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2023年6月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eastAsia="zh-CN"/>
        </w:rPr>
        <w:t>壹万</w:t>
      </w:r>
      <w:r>
        <w:rPr>
          <w:rFonts w:hint="eastAsia" w:ascii="仿宋" w:hAnsi="仿宋" w:eastAsia="仿宋" w:cs="仿宋_GB2312"/>
          <w:b/>
          <w:bCs/>
          <w:color w:val="000000"/>
          <w:sz w:val="28"/>
          <w:szCs w:val="28"/>
          <w:highlight w:val="none"/>
          <w:u w:val="single"/>
        </w:rPr>
        <w:t>元整；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w:t>
      </w:r>
      <w:r>
        <w:rPr>
          <w:rFonts w:hint="eastAsia" w:ascii="仿宋" w:hAnsi="仿宋" w:eastAsia="仿宋" w:cs="仿宋_GB2312"/>
          <w:sz w:val="28"/>
          <w:szCs w:val="28"/>
          <w:u w:val="single"/>
        </w:rPr>
        <w:t>（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铜陵铜冠建安公司第二事业部研发基地项目灯具TGJA-WZ-202387投标保证金。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30</w:t>
      </w:r>
      <w:r>
        <w:rPr>
          <w:rFonts w:hint="eastAsia" w:ascii="仿宋" w:hAnsi="仿宋" w:eastAsia="仿宋" w:cs="仿宋_GB2312"/>
          <w:sz w:val="28"/>
          <w:szCs w:val="28"/>
        </w:rPr>
        <w:t>日内，向投标人退还投标保证金（无息）。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2023年6月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材料送至铜陵市研发基地项目现场。收货人：雷雄侠13866505573。</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（1）本次招标报价为含13%增值税含运费一票制价格；</w:t>
      </w:r>
    </w:p>
    <w:p>
      <w:pPr>
        <w:numPr>
          <w:ilvl w:val="0"/>
          <w:numId w:val="2"/>
        </w:numPr>
        <w:spacing w:line="560" w:lineRule="exact"/>
        <w:ind w:left="560"/>
        <w:rPr>
          <w:rFonts w:ascii="仿宋" w:hAnsi="仿宋" w:eastAsia="仿宋" w:cs="仿宋"/>
          <w:color w:val="auto"/>
          <w:sz w:val="28"/>
          <w:szCs w:val="28"/>
        </w:rPr>
      </w:pPr>
      <w:r>
        <w:rPr>
          <w:rFonts w:hint="eastAsia" w:ascii="仿宋" w:hAnsi="仿宋" w:eastAsia="仿宋" w:cs="仿宋"/>
          <w:color w:val="auto"/>
          <w:sz w:val="28"/>
          <w:szCs w:val="28"/>
        </w:rPr>
        <w:t>一旦中标，合同期内价格不予调整。</w:t>
      </w:r>
    </w:p>
    <w:p>
      <w:pPr>
        <w:numPr>
          <w:ilvl w:val="0"/>
          <w:numId w:val="2"/>
        </w:numPr>
        <w:spacing w:line="560" w:lineRule="exact"/>
        <w:ind w:left="560"/>
        <w:rPr>
          <w:rFonts w:ascii="仿宋" w:hAnsi="仿宋" w:eastAsia="仿宋" w:cs="仿宋"/>
          <w:color w:val="auto"/>
          <w:sz w:val="28"/>
          <w:szCs w:val="28"/>
        </w:rPr>
      </w:pPr>
      <w:r>
        <w:rPr>
          <w:rFonts w:hint="eastAsia" w:ascii="仿宋" w:hAnsi="仿宋" w:eastAsia="仿宋" w:cs="仿宋"/>
          <w:color w:val="auto"/>
          <w:sz w:val="28"/>
          <w:szCs w:val="28"/>
        </w:rPr>
        <w:t>本次招标设拦标价，拦标价为</w:t>
      </w:r>
      <w:r>
        <w:rPr>
          <w:rFonts w:hint="eastAsia" w:ascii="仿宋" w:hAnsi="仿宋" w:eastAsia="仿宋" w:cs="仿宋"/>
          <w:color w:val="auto"/>
          <w:sz w:val="28"/>
          <w:szCs w:val="28"/>
          <w:lang w:val="en-US" w:eastAsia="zh-CN"/>
        </w:rPr>
        <w:t>485</w:t>
      </w:r>
      <w:r>
        <w:rPr>
          <w:rFonts w:hint="eastAsia" w:ascii="仿宋" w:hAnsi="仿宋" w:eastAsia="仿宋" w:cs="仿宋"/>
          <w:color w:val="auto"/>
          <w:sz w:val="28"/>
          <w:szCs w:val="28"/>
        </w:rPr>
        <w:t>000元，超过拦标价的为无效投标。</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ascii="仿宋" w:hAnsi="仿宋" w:eastAsia="仿宋" w:cs="仿宋"/>
          <w:color w:val="FF0000"/>
          <w:sz w:val="28"/>
          <w:szCs w:val="28"/>
          <w:shd w:val="clear" w:color="auto" w:fill="FFFFFF"/>
        </w:rPr>
      </w:pPr>
      <w:r>
        <w:rPr>
          <w:rFonts w:hint="eastAsia" w:ascii="仿宋" w:hAnsi="仿宋" w:eastAsia="仿宋" w:cs="仿宋_GB2312"/>
          <w:color w:val="FF0000"/>
          <w:sz w:val="28"/>
          <w:szCs w:val="28"/>
        </w:rPr>
        <w:t>合同签订后，</w:t>
      </w:r>
      <w:r>
        <w:rPr>
          <w:rFonts w:hint="eastAsia" w:ascii="仿宋" w:hAnsi="仿宋" w:eastAsia="仿宋" w:cs="仿宋"/>
          <w:color w:val="FF0000"/>
          <w:sz w:val="28"/>
          <w:szCs w:val="28"/>
        </w:rPr>
        <w:t>根据到货情况，货到验收合格后开具发票，入账次月支付40%，春节前支付至80%，剩余20%该春节后两年内付清。</w:t>
      </w:r>
      <w:r>
        <w:rPr>
          <w:rFonts w:hint="eastAsia" w:ascii="仿宋" w:hAnsi="仿宋" w:eastAsia="仿宋" w:cs="仿宋"/>
          <w:color w:val="FF0000"/>
          <w:sz w:val="28"/>
          <w:szCs w:val="28"/>
          <w:shd w:val="clear" w:color="auto" w:fill="FFFFFF"/>
        </w:rPr>
        <w:t>货款以对公转账方式支付至供方对公账户，支付电</w:t>
      </w:r>
      <w:bookmarkStart w:id="0" w:name="_GoBack"/>
      <w:bookmarkEnd w:id="0"/>
      <w:r>
        <w:rPr>
          <w:rFonts w:hint="eastAsia" w:ascii="仿宋" w:hAnsi="仿宋" w:eastAsia="仿宋" w:cs="仿宋"/>
          <w:color w:val="FF0000"/>
          <w:sz w:val="28"/>
          <w:szCs w:val="28"/>
          <w:shd w:val="clear" w:color="auto" w:fill="FFFFFF"/>
        </w:rPr>
        <w:t>汇或不超过合同总金额50%的6个月内银行电子承兑。</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ascii="仿宋" w:hAnsi="仿宋" w:eastAsia="仿宋"/>
          <w:b/>
          <w:sz w:val="28"/>
          <w:szCs w:val="28"/>
        </w:rPr>
      </w:pPr>
      <w:r>
        <w:rPr>
          <w:rFonts w:hint="eastAsia" w:ascii="仿宋" w:hAnsi="仿宋" w:eastAsia="仿宋"/>
          <w:b/>
          <w:sz w:val="28"/>
          <w:szCs w:val="28"/>
        </w:rPr>
        <w:t>报价单（TGJA-WZ-202387）</w:t>
      </w:r>
    </w:p>
    <w:tbl>
      <w:tblPr>
        <w:tblStyle w:val="54"/>
        <w:tblW w:w="158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30"/>
        <w:gridCol w:w="2445"/>
        <w:gridCol w:w="720"/>
        <w:gridCol w:w="915"/>
        <w:gridCol w:w="1380"/>
        <w:gridCol w:w="1740"/>
        <w:gridCol w:w="1320"/>
        <w:gridCol w:w="2085"/>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380"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740" w:type="dxa"/>
            <w:vAlign w:val="center"/>
          </w:tcPr>
          <w:p>
            <w:pPr>
              <w:spacing w:line="400" w:lineRule="exact"/>
              <w:jc w:val="center"/>
              <w:rPr>
                <w:rFonts w:ascii="仿宋" w:hAnsi="仿宋" w:eastAsia="仿宋"/>
                <w:sz w:val="24"/>
              </w:rPr>
            </w:pPr>
            <w:r>
              <w:rPr>
                <w:rFonts w:hint="eastAsia" w:ascii="仿宋" w:hAnsi="仿宋" w:eastAsia="仿宋"/>
                <w:sz w:val="24"/>
              </w:rPr>
              <w:t>含税含运费金额</w:t>
            </w:r>
            <w:r>
              <w:rPr>
                <w:rFonts w:hint="eastAsia" w:ascii="仿宋" w:hAnsi="仿宋" w:eastAsia="仿宋"/>
                <w:color w:val="FF0000"/>
                <w:sz w:val="24"/>
              </w:rPr>
              <w:t>*</w:t>
            </w:r>
          </w:p>
        </w:tc>
        <w:tc>
          <w:tcPr>
            <w:tcW w:w="1320"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085"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22"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LED灯带（R01)</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米</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510</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可调角筒灯（R02)</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24</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3</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可调角筒灯（R03)</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372</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4</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可调角防雾筒灯（R04)</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12</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5</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LED灯盘（R05)</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300*1200</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250</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6</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LED灯盘（R06)</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300*1500</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20</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7</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LED吸顶灯(声光控）</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12</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8</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吊线LED日光灯</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279</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9</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600*600LED平板灯</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套</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478</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10</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防爆灯</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RLEEX516-XL36</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盏</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8</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11</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支架灯</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HRZM-G-6110-XL36</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盏</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28</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12</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带蓄电池应急灯</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HRZM-G-6110-XL36-J</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盏</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13</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固定式LED灯具</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RLEHB0012-III</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盏</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19</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14</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工厂投光灯</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GC203-XL36</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盏</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12</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95" w:type="dxa"/>
            <w:vAlign w:val="center"/>
          </w:tcPr>
          <w:p>
            <w:pPr>
              <w:spacing w:line="400" w:lineRule="exact"/>
              <w:jc w:val="center"/>
              <w:rPr>
                <w:rFonts w:ascii="仿宋" w:hAnsi="仿宋" w:eastAsia="仿宋"/>
                <w:sz w:val="24"/>
              </w:rPr>
            </w:pPr>
            <w:r>
              <w:rPr>
                <w:rFonts w:hint="eastAsia" w:ascii="仿宋" w:hAnsi="仿宋" w:eastAsia="仿宋"/>
                <w:sz w:val="24"/>
              </w:rPr>
              <w:t>15</w:t>
            </w: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LED声控吸顶灯</w:t>
            </w:r>
          </w:p>
        </w:tc>
        <w:tc>
          <w:tcPr>
            <w:tcW w:w="2445" w:type="dxa"/>
            <w:vAlign w:val="center"/>
          </w:tcPr>
          <w:p>
            <w:pPr>
              <w:spacing w:line="400" w:lineRule="exact"/>
              <w:jc w:val="center"/>
              <w:rPr>
                <w:rFonts w:ascii="仿宋" w:hAnsi="仿宋" w:eastAsia="仿宋"/>
                <w:sz w:val="24"/>
              </w:rPr>
            </w:pPr>
            <w:r>
              <w:rPr>
                <w:rFonts w:hint="eastAsia" w:ascii="仿宋" w:hAnsi="仿宋" w:eastAsia="仿宋"/>
                <w:sz w:val="24"/>
              </w:rPr>
              <w:t>12W，300mm</w:t>
            </w:r>
          </w:p>
        </w:tc>
        <w:tc>
          <w:tcPr>
            <w:tcW w:w="720" w:type="dxa"/>
            <w:vAlign w:val="center"/>
          </w:tcPr>
          <w:p>
            <w:pPr>
              <w:spacing w:line="400" w:lineRule="exact"/>
              <w:jc w:val="center"/>
              <w:rPr>
                <w:rFonts w:ascii="仿宋" w:hAnsi="仿宋" w:eastAsia="仿宋"/>
                <w:sz w:val="24"/>
              </w:rPr>
            </w:pPr>
            <w:r>
              <w:rPr>
                <w:rFonts w:hint="eastAsia" w:ascii="仿宋" w:hAnsi="仿宋" w:eastAsia="仿宋"/>
                <w:sz w:val="24"/>
              </w:rPr>
              <w:t>盏</w:t>
            </w:r>
          </w:p>
        </w:tc>
        <w:tc>
          <w:tcPr>
            <w:tcW w:w="915" w:type="dxa"/>
            <w:vAlign w:val="center"/>
          </w:tcPr>
          <w:p>
            <w:pPr>
              <w:spacing w:line="400" w:lineRule="exact"/>
              <w:jc w:val="center"/>
              <w:rPr>
                <w:rFonts w:ascii="仿宋" w:hAnsi="仿宋" w:eastAsia="仿宋"/>
                <w:sz w:val="24"/>
              </w:rPr>
            </w:pPr>
            <w:r>
              <w:rPr>
                <w:rFonts w:hint="eastAsia" w:ascii="仿宋" w:hAnsi="仿宋" w:eastAsia="仿宋"/>
                <w:sz w:val="24"/>
              </w:rPr>
              <w:t>6</w:t>
            </w: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495" w:type="dxa"/>
            <w:vAlign w:val="center"/>
          </w:tcPr>
          <w:p>
            <w:pPr>
              <w:spacing w:line="400" w:lineRule="exact"/>
              <w:jc w:val="center"/>
              <w:rPr>
                <w:rFonts w:ascii="仿宋" w:hAnsi="仿宋" w:eastAsia="仿宋"/>
                <w:sz w:val="24"/>
              </w:rPr>
            </w:pPr>
          </w:p>
        </w:tc>
        <w:tc>
          <w:tcPr>
            <w:tcW w:w="2430" w:type="dxa"/>
            <w:vAlign w:val="center"/>
          </w:tcPr>
          <w:p>
            <w:pPr>
              <w:spacing w:line="400" w:lineRule="exact"/>
              <w:jc w:val="center"/>
              <w:rPr>
                <w:rFonts w:ascii="仿宋" w:hAnsi="仿宋" w:eastAsia="仿宋"/>
                <w:sz w:val="24"/>
              </w:rPr>
            </w:pPr>
            <w:r>
              <w:rPr>
                <w:rFonts w:hint="eastAsia" w:ascii="仿宋" w:hAnsi="仿宋" w:eastAsia="仿宋"/>
                <w:sz w:val="24"/>
              </w:rPr>
              <w:t>合计：</w:t>
            </w:r>
          </w:p>
        </w:tc>
        <w:tc>
          <w:tcPr>
            <w:tcW w:w="2445" w:type="dxa"/>
            <w:vAlign w:val="center"/>
          </w:tcPr>
          <w:p>
            <w:pPr>
              <w:spacing w:line="400" w:lineRule="exact"/>
              <w:jc w:val="center"/>
              <w:rPr>
                <w:rFonts w:ascii="仿宋" w:hAnsi="仿宋" w:eastAsia="仿宋"/>
                <w:sz w:val="24"/>
              </w:rPr>
            </w:pPr>
          </w:p>
        </w:tc>
        <w:tc>
          <w:tcPr>
            <w:tcW w:w="720" w:type="dxa"/>
            <w:vAlign w:val="center"/>
          </w:tcPr>
          <w:p>
            <w:pPr>
              <w:spacing w:line="400" w:lineRule="exact"/>
              <w:jc w:val="center"/>
              <w:rPr>
                <w:rFonts w:ascii="仿宋" w:hAnsi="仿宋" w:eastAsia="仿宋"/>
                <w:sz w:val="24"/>
              </w:rPr>
            </w:pPr>
          </w:p>
        </w:tc>
        <w:tc>
          <w:tcPr>
            <w:tcW w:w="915" w:type="dxa"/>
            <w:vAlign w:val="center"/>
          </w:tcPr>
          <w:p>
            <w:pPr>
              <w:spacing w:line="400" w:lineRule="exact"/>
              <w:jc w:val="center"/>
              <w:rPr>
                <w:rFonts w:ascii="仿宋" w:hAnsi="仿宋" w:eastAsia="仿宋"/>
                <w:sz w:val="24"/>
              </w:rPr>
            </w:pPr>
          </w:p>
        </w:tc>
        <w:tc>
          <w:tcPr>
            <w:tcW w:w="1380" w:type="dxa"/>
            <w:vAlign w:val="center"/>
          </w:tcPr>
          <w:p>
            <w:pPr>
              <w:spacing w:line="400" w:lineRule="exact"/>
              <w:jc w:val="center"/>
              <w:rPr>
                <w:rFonts w:ascii="仿宋" w:hAnsi="仿宋" w:eastAsia="仿宋"/>
                <w:sz w:val="24"/>
              </w:rPr>
            </w:pPr>
          </w:p>
        </w:tc>
        <w:tc>
          <w:tcPr>
            <w:tcW w:w="1740" w:type="dxa"/>
            <w:vAlign w:val="center"/>
          </w:tcPr>
          <w:p>
            <w:pPr>
              <w:spacing w:line="400" w:lineRule="exact"/>
              <w:jc w:val="center"/>
              <w:rPr>
                <w:rFonts w:ascii="仿宋" w:hAnsi="仿宋" w:eastAsia="仿宋"/>
                <w:sz w:val="24"/>
              </w:rPr>
            </w:pPr>
          </w:p>
        </w:tc>
        <w:tc>
          <w:tcPr>
            <w:tcW w:w="1320" w:type="dxa"/>
            <w:vAlign w:val="center"/>
          </w:tcPr>
          <w:p>
            <w:pPr>
              <w:spacing w:line="400" w:lineRule="exact"/>
              <w:jc w:val="center"/>
              <w:rPr>
                <w:rFonts w:ascii="仿宋" w:hAnsi="仿宋" w:eastAsia="仿宋"/>
                <w:sz w:val="24"/>
              </w:rPr>
            </w:pPr>
          </w:p>
        </w:tc>
        <w:tc>
          <w:tcPr>
            <w:tcW w:w="2085" w:type="dxa"/>
            <w:vAlign w:val="center"/>
          </w:tcPr>
          <w:p>
            <w:pPr>
              <w:spacing w:line="400" w:lineRule="exact"/>
              <w:jc w:val="center"/>
              <w:rPr>
                <w:rFonts w:ascii="仿宋" w:hAnsi="仿宋" w:eastAsia="仿宋"/>
                <w:sz w:val="24"/>
              </w:rPr>
            </w:pPr>
          </w:p>
        </w:tc>
        <w:tc>
          <w:tcPr>
            <w:tcW w:w="2322"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852" w:type="dxa"/>
            <w:gridSpan w:val="10"/>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005"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120"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5727" w:type="dxa"/>
            <w:gridSpan w:val="3"/>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005" w:type="dxa"/>
            <w:gridSpan w:val="5"/>
            <w:vMerge w:val="continue"/>
            <w:vAlign w:val="center"/>
          </w:tcPr>
          <w:p>
            <w:pPr>
              <w:spacing w:line="400" w:lineRule="exact"/>
              <w:rPr>
                <w:rFonts w:ascii="仿宋" w:hAnsi="仿宋" w:eastAsia="仿宋"/>
                <w:sz w:val="24"/>
              </w:rPr>
            </w:pPr>
          </w:p>
        </w:tc>
        <w:tc>
          <w:tcPr>
            <w:tcW w:w="3120"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3405"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2322"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005" w:type="dxa"/>
            <w:gridSpan w:val="5"/>
            <w:vMerge w:val="continue"/>
            <w:vAlign w:val="center"/>
          </w:tcPr>
          <w:p>
            <w:pPr>
              <w:spacing w:line="400" w:lineRule="exact"/>
              <w:rPr>
                <w:rFonts w:ascii="仿宋" w:hAnsi="仿宋" w:eastAsia="仿宋"/>
                <w:sz w:val="24"/>
              </w:rPr>
            </w:pPr>
          </w:p>
        </w:tc>
        <w:tc>
          <w:tcPr>
            <w:tcW w:w="3120" w:type="dxa"/>
            <w:gridSpan w:val="2"/>
            <w:vMerge w:val="continue"/>
            <w:vAlign w:val="center"/>
          </w:tcPr>
          <w:p>
            <w:pPr>
              <w:spacing w:line="400" w:lineRule="exact"/>
              <w:jc w:val="center"/>
              <w:rPr>
                <w:rFonts w:ascii="仿宋" w:hAnsi="仿宋" w:eastAsia="仿宋"/>
                <w:sz w:val="24"/>
              </w:rPr>
            </w:pPr>
          </w:p>
        </w:tc>
        <w:tc>
          <w:tcPr>
            <w:tcW w:w="3405"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2322" w:type="dxa"/>
            <w:vAlign w:val="center"/>
          </w:tcPr>
          <w:p>
            <w:pPr>
              <w:spacing w:line="400" w:lineRule="exact"/>
              <w:rPr>
                <w:rFonts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29B"/>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B9B"/>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0B42"/>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16DD"/>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49D2"/>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60D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21B104D"/>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B872600"/>
    <w:rsid w:val="0C6241B2"/>
    <w:rsid w:val="0CA911C7"/>
    <w:rsid w:val="0D2B4E23"/>
    <w:rsid w:val="0DF67C05"/>
    <w:rsid w:val="0E2061B7"/>
    <w:rsid w:val="0E876D2F"/>
    <w:rsid w:val="0EC82FD7"/>
    <w:rsid w:val="0F3A3B23"/>
    <w:rsid w:val="0FB34554"/>
    <w:rsid w:val="10181623"/>
    <w:rsid w:val="107E735A"/>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453334"/>
    <w:rsid w:val="25590EC9"/>
    <w:rsid w:val="257F4BF0"/>
    <w:rsid w:val="25A13254"/>
    <w:rsid w:val="2601699D"/>
    <w:rsid w:val="262F357C"/>
    <w:rsid w:val="26A26CEB"/>
    <w:rsid w:val="27235E7D"/>
    <w:rsid w:val="276F4E38"/>
    <w:rsid w:val="2791642D"/>
    <w:rsid w:val="2834446C"/>
    <w:rsid w:val="28C827CF"/>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C74EE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BA6FA5"/>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E27322"/>
    <w:rsid w:val="5FF418DD"/>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14</Pages>
  <Words>780</Words>
  <Characters>4447</Characters>
  <Lines>37</Lines>
  <Paragraphs>10</Paragraphs>
  <TotalTime>19</TotalTime>
  <ScaleCrop>false</ScaleCrop>
  <LinksUpToDate>false</LinksUpToDate>
  <CharactersWithSpaces>5217</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2023-06-12T06:06:23Z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