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宋体" w:hAnsi="宋体" w:cs="宋体"/>
          <w:b/>
          <w:bCs/>
          <w:sz w:val="44"/>
          <w:szCs w:val="44"/>
          <w:u w:val="single"/>
        </w:rPr>
      </w:pPr>
    </w:p>
    <w:p>
      <w:pPr>
        <w:jc w:val="center"/>
        <w:rPr>
          <w:rFonts w:hint="eastAsia" w:ascii="宋体" w:hAnsi="宋体" w:cs="宋体"/>
          <w:b/>
          <w:bCs/>
          <w:sz w:val="44"/>
          <w:szCs w:val="44"/>
          <w:u w:val="single"/>
        </w:rPr>
      </w:pPr>
      <w:r>
        <w:rPr>
          <w:rFonts w:hint="eastAsia" w:ascii="宋体" w:hAnsi="宋体" w:cs="宋体"/>
          <w:b/>
          <w:bCs/>
          <w:sz w:val="44"/>
          <w:szCs w:val="44"/>
          <w:u w:val="single"/>
        </w:rPr>
        <w:t>第一事业部赤峰金通铜业项目混凝土</w:t>
      </w:r>
    </w:p>
    <w:p>
      <w:pPr>
        <w:jc w:val="center"/>
        <w:rPr>
          <w:rFonts w:hint="eastAsia" w:ascii="宋体" w:hAnsi="宋体" w:cs="宋体"/>
          <w:b/>
          <w:bCs/>
          <w:sz w:val="44"/>
          <w:szCs w:val="44"/>
          <w:u w:val="single"/>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eastAsia"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TGJA-WZ-2023146</w:t>
      </w:r>
    </w:p>
    <w:p>
      <w:pPr>
        <w:rPr>
          <w:rFonts w:hint="eastAsia" w:ascii="仿宋" w:hAnsi="仿宋" w:eastAsia="仿宋" w:cs="仿宋_GB2312"/>
          <w:b/>
          <w:bCs/>
          <w:sz w:val="32"/>
          <w:szCs w:val="32"/>
          <w:u w:val="single"/>
        </w:rPr>
      </w:pP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2023年10月9日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spacing w:line="360" w:lineRule="auto"/>
        <w:rPr>
          <w:rFonts w:ascii="仿宋" w:hAnsi="仿宋" w:eastAsia="仿宋" w:cs="仿宋_GB2312"/>
          <w:b/>
          <w:bCs/>
          <w:sz w:val="24"/>
          <w:szCs w:val="24"/>
        </w:rPr>
      </w:pPr>
      <w:r>
        <w:rPr>
          <w:rFonts w:hint="eastAsia" w:ascii="仿宋" w:hAnsi="仿宋" w:eastAsia="仿宋" w:cs="仿宋_GB2312"/>
          <w:b/>
          <w:bCs/>
          <w:sz w:val="24"/>
          <w:szCs w:val="24"/>
        </w:rPr>
        <w:t>【声明】</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b/>
          <w:sz w:val="24"/>
          <w:szCs w:val="24"/>
        </w:rPr>
      </w:pPr>
      <w:r>
        <w:rPr>
          <w:rFonts w:hint="eastAsia" w:ascii="仿宋" w:hAnsi="仿宋" w:eastAsia="仿宋" w:cs="仿宋_GB2312"/>
          <w:sz w:val="24"/>
          <w:szCs w:val="24"/>
        </w:rPr>
        <w:t>2、公开招标（竞价）</w:t>
      </w:r>
      <w:r>
        <w:rPr>
          <w:rFonts w:hint="eastAsia" w:ascii="仿宋" w:hAnsi="仿宋" w:eastAsia="仿宋" w:cs="仿宋_GB2312"/>
          <w:sz w:val="24"/>
          <w:szCs w:val="24"/>
          <w:lang w:eastAsia="zh-CN"/>
        </w:rPr>
        <w:t>为不见面开标</w:t>
      </w:r>
      <w:r>
        <w:rPr>
          <w:rFonts w:hint="eastAsia" w:ascii="仿宋" w:hAnsi="仿宋" w:eastAsia="仿宋" w:cs="仿宋_GB2312"/>
          <w:sz w:val="24"/>
          <w:szCs w:val="24"/>
        </w:rPr>
        <w:t>。</w:t>
      </w: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一、招标日程安排</w:t>
      </w:r>
    </w:p>
    <w:p>
      <w:pPr>
        <w:spacing w:line="360" w:lineRule="auto"/>
        <w:rPr>
          <w:rFonts w:ascii="仿宋" w:hAnsi="仿宋" w:eastAsia="仿宋" w:cs="仿宋_GB2312"/>
          <w:b/>
          <w:sz w:val="24"/>
          <w:szCs w:val="24"/>
        </w:rPr>
      </w:pPr>
    </w:p>
    <w:p>
      <w:pPr>
        <w:spacing w:line="360" w:lineRule="auto"/>
        <w:ind w:firstLine="480" w:firstLineChars="200"/>
        <w:rPr>
          <w:rFonts w:ascii="仿宋" w:hAnsi="仿宋" w:eastAsia="仿宋" w:cs="仿宋_GB2312"/>
          <w:sz w:val="24"/>
          <w:szCs w:val="24"/>
          <w:highlight w:val="cyan"/>
          <w:u w:val="single"/>
          <w:shd w:val="clear" w:color="FFFFFF" w:fill="D9D9D9"/>
        </w:rPr>
      </w:pPr>
      <w:r>
        <w:rPr>
          <w:rFonts w:hint="eastAsia" w:ascii="仿宋" w:hAnsi="仿宋" w:eastAsia="仿宋" w:cs="仿宋_GB2312"/>
          <w:sz w:val="24"/>
          <w:szCs w:val="24"/>
        </w:rPr>
        <w:t>1、招标公告发布日期：</w:t>
      </w:r>
      <w:r>
        <w:rPr>
          <w:rFonts w:hint="eastAsia" w:ascii="仿宋" w:hAnsi="仿宋" w:eastAsia="仿宋" w:cs="仿宋_GB2312"/>
          <w:sz w:val="24"/>
          <w:szCs w:val="24"/>
          <w:u w:val="single"/>
        </w:rPr>
        <w:t>2023年10月9日</w:t>
      </w:r>
    </w:p>
    <w:p>
      <w:pPr>
        <w:spacing w:line="360" w:lineRule="auto"/>
        <w:ind w:firstLine="480" w:firstLineChars="200"/>
        <w:rPr>
          <w:rFonts w:ascii="仿宋" w:hAnsi="仿宋" w:eastAsia="仿宋" w:cs="仿宋_GB2312"/>
          <w:sz w:val="24"/>
          <w:szCs w:val="24"/>
          <w:highlight w:val="cyan"/>
          <w:u w:val="single"/>
        </w:rPr>
      </w:pPr>
      <w:r>
        <w:rPr>
          <w:rFonts w:hint="eastAsia" w:ascii="仿宋" w:hAnsi="仿宋" w:eastAsia="仿宋" w:cs="仿宋_GB2312"/>
          <w:sz w:val="24"/>
          <w:szCs w:val="24"/>
        </w:rPr>
        <w:t>2、投标截止时间：</w:t>
      </w:r>
      <w:r>
        <w:rPr>
          <w:rFonts w:hint="eastAsia" w:ascii="仿宋" w:hAnsi="仿宋" w:eastAsia="仿宋" w:cs="仿宋_GB2312"/>
          <w:sz w:val="24"/>
          <w:szCs w:val="24"/>
          <w:u w:val="single"/>
        </w:rPr>
        <w:t>2023年10月12日9:00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3、投标文件递交地点：铜陵有色金属集团铜冠建筑安装股份有限公司经营部（黄山大道南段879号四楼）</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4、投标文件收件人：</w:t>
      </w:r>
      <w:r>
        <w:rPr>
          <w:rFonts w:hint="eastAsia" w:ascii="仿宋" w:hAnsi="仿宋" w:eastAsia="仿宋" w:cs="仿宋_GB2312"/>
          <w:sz w:val="24"/>
          <w:szCs w:val="24"/>
          <w:u w:val="single"/>
        </w:rPr>
        <w:t>黄赟（18656211500）</w:t>
      </w:r>
    </w:p>
    <w:p>
      <w:pPr>
        <w:spacing w:line="360" w:lineRule="auto"/>
        <w:ind w:firstLine="480" w:firstLineChars="200"/>
        <w:rPr>
          <w:rFonts w:ascii="仿宋" w:hAnsi="仿宋" w:eastAsia="仿宋" w:cs="仿宋_GB2312"/>
          <w:color w:val="FF0000"/>
          <w:sz w:val="24"/>
          <w:szCs w:val="24"/>
          <w:u w:val="single"/>
        </w:rPr>
      </w:pPr>
      <w:r>
        <w:rPr>
          <w:rFonts w:hint="eastAsia" w:ascii="仿宋" w:hAnsi="仿宋" w:eastAsia="仿宋" w:cs="仿宋_GB2312"/>
          <w:sz w:val="24"/>
          <w:szCs w:val="24"/>
        </w:rPr>
        <w:t>5、开标时间：</w:t>
      </w:r>
      <w:r>
        <w:rPr>
          <w:rFonts w:hint="eastAsia" w:ascii="仿宋" w:hAnsi="仿宋" w:eastAsia="仿宋" w:cs="仿宋_GB2312"/>
          <w:sz w:val="24"/>
          <w:szCs w:val="24"/>
          <w:u w:val="single"/>
        </w:rPr>
        <w:t>2023年10月12日9:00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6、发中标通知书时间：另行通知</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7、签订合同时间：另行通知</w:t>
      </w:r>
    </w:p>
    <w:p>
      <w:pPr>
        <w:spacing w:line="360" w:lineRule="auto"/>
        <w:rPr>
          <w:rFonts w:ascii="仿宋" w:hAnsi="仿宋" w:eastAsia="仿宋" w:cs="仿宋_GB2312"/>
          <w:b/>
          <w:sz w:val="24"/>
          <w:szCs w:val="24"/>
        </w:rPr>
      </w:pPr>
    </w:p>
    <w:p>
      <w:pPr>
        <w:spacing w:line="360" w:lineRule="auto"/>
        <w:rPr>
          <w:rFonts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二、招标内容</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本次招标的具体内容</w:t>
      </w:r>
      <w:r>
        <w:rPr>
          <w:rFonts w:hint="eastAsia" w:ascii="仿宋" w:hAnsi="仿宋" w:eastAsia="仿宋" w:cs="仿宋_GB2312"/>
          <w:sz w:val="24"/>
          <w:szCs w:val="24"/>
          <w:u w:val="single"/>
        </w:rPr>
        <w:t>（详见报价单）：</w:t>
      </w:r>
    </w:p>
    <w:p>
      <w:pPr>
        <w:spacing w:line="360" w:lineRule="auto"/>
        <w:ind w:firstLine="960" w:firstLineChars="400"/>
        <w:rPr>
          <w:rFonts w:ascii="仿宋" w:hAnsi="仿宋" w:eastAsia="仿宋" w:cs="仿宋_GB2312"/>
          <w:sz w:val="24"/>
          <w:szCs w:val="24"/>
          <w:u w:val="single"/>
        </w:rPr>
      </w:pPr>
      <w:r>
        <w:rPr>
          <w:rFonts w:hint="eastAsia" w:ascii="仿宋" w:hAnsi="仿宋" w:eastAsia="仿宋" w:cs="仿宋_GB2312"/>
          <w:sz w:val="24"/>
          <w:szCs w:val="24"/>
          <w:u w:val="single"/>
        </w:rPr>
        <w:t>1、约4300m</w:t>
      </w:r>
      <w:r>
        <w:rPr>
          <w:rFonts w:ascii="宋体" w:hAnsi="宋体" w:cs="宋体"/>
          <w:sz w:val="24"/>
          <w:szCs w:val="24"/>
          <w:u w:val="single"/>
        </w:rPr>
        <w:t>³</w:t>
      </w:r>
      <w:r>
        <w:rPr>
          <w:rFonts w:hint="eastAsia" w:ascii="仿宋" w:hAnsi="仿宋" w:eastAsia="仿宋" w:cs="仿宋_GB2312"/>
          <w:sz w:val="24"/>
          <w:szCs w:val="24"/>
          <w:u w:val="single"/>
        </w:rPr>
        <w:t>商品混凝土 （本次招标数量为项目预估量，具体数量以实际需求量为准）</w:t>
      </w:r>
    </w:p>
    <w:p>
      <w:pPr>
        <w:spacing w:line="360" w:lineRule="auto"/>
        <w:ind w:firstLine="960" w:firstLineChars="400"/>
        <w:rPr>
          <w:rFonts w:ascii="仿宋" w:hAnsi="仿宋" w:eastAsia="仿宋" w:cs="仿宋_GB2312"/>
          <w:sz w:val="24"/>
          <w:szCs w:val="24"/>
        </w:rPr>
      </w:pPr>
    </w:p>
    <w:p>
      <w:pPr>
        <w:spacing w:line="360" w:lineRule="auto"/>
        <w:rPr>
          <w:rFonts w:ascii="仿宋" w:hAnsi="仿宋" w:eastAsia="仿宋" w:cs="仿宋_GB2312"/>
          <w:b/>
          <w:bCs/>
          <w:sz w:val="24"/>
          <w:szCs w:val="24"/>
        </w:rPr>
      </w:pPr>
      <w:r>
        <w:rPr>
          <w:rFonts w:hint="eastAsia" w:ascii="仿宋" w:hAnsi="仿宋" w:eastAsia="仿宋" w:cs="仿宋_GB2312"/>
          <w:b/>
          <w:bCs/>
          <w:sz w:val="24"/>
          <w:szCs w:val="24"/>
        </w:rPr>
        <w:t>说明：</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此次招标数量为招标人在现有条件下核定的大约数量，此数量仅作为评标和签订合同数量的依据，不作为中标人最终供货结算数量的依据，最终供货结算数量的增减丝毫不影响投标报价的效力。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jc w:val="center"/>
        <w:rPr>
          <w:rFonts w:ascii="仿宋" w:hAnsi="仿宋" w:eastAsia="仿宋" w:cs="仿宋_GB2312"/>
          <w:b/>
          <w:sz w:val="28"/>
          <w:szCs w:val="28"/>
        </w:rPr>
      </w:pPr>
      <w:r>
        <w:rPr>
          <w:rFonts w:hint="eastAsia" w:ascii="仿宋" w:hAnsi="仿宋" w:eastAsia="仿宋" w:cs="仿宋_GB2312"/>
          <w:b/>
          <w:sz w:val="28"/>
          <w:szCs w:val="28"/>
        </w:rPr>
        <w:t>三、投标人资格要求</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1、在中华人民共和国境内依法经国家工商、税务机关登记注册。</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2、投标人须为一般纳税人或小规模纳税人。</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3、投标人提供的相关资质证件均须在年审有效期内。</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4、投标人营业执照所列示的经营范围必须涵盖本次招标材料品种。</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5、有生产经营和安全许可要求的，必须有相应有效的许可证。</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6、投标人近三年无重大失信和违法、违纪行为等不良记录。</w:t>
      </w: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8"/>
          <w:szCs w:val="28"/>
        </w:rPr>
      </w:pPr>
      <w:r>
        <w:rPr>
          <w:rFonts w:hint="eastAsia" w:ascii="仿宋" w:hAnsi="仿宋" w:eastAsia="仿宋" w:cs="仿宋_GB2312"/>
          <w:b/>
          <w:sz w:val="28"/>
          <w:szCs w:val="28"/>
        </w:rPr>
        <w:t>四、招标公告发布的媒介及招标公告的获取</w:t>
      </w: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本次招标公告（包括后期如有对招标文件所作的澄清、修改等。）将在铜冠建筑安装股份有限公司网（</w:t>
      </w:r>
      <w:r>
        <w:rPr>
          <w:rFonts w:ascii="仿宋" w:hAnsi="仿宋" w:eastAsia="仿宋" w:cs="仿宋_GB2312"/>
          <w:sz w:val="24"/>
          <w:szCs w:val="24"/>
        </w:rPr>
        <w:t>http://www.tltgja.com.cn/</w:t>
      </w:r>
      <w:r>
        <w:rPr>
          <w:rFonts w:hint="eastAsia" w:ascii="仿宋" w:hAnsi="仿宋" w:eastAsia="仿宋" w:cs="仿宋_GB2312"/>
          <w:sz w:val="24"/>
          <w:szCs w:val="24"/>
        </w:rPr>
        <w:t>）在线招标--物资招标上发布。招标公告请投标人自行下载。</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szCs w:val="24"/>
        </w:rPr>
      </w:pPr>
    </w:p>
    <w:p>
      <w:pPr>
        <w:spacing w:line="360" w:lineRule="auto"/>
        <w:jc w:val="center"/>
        <w:rPr>
          <w:rFonts w:ascii="仿宋" w:hAnsi="仿宋" w:eastAsia="仿宋" w:cs="仿宋_GB2312"/>
          <w:b/>
          <w:sz w:val="28"/>
          <w:szCs w:val="28"/>
        </w:rPr>
      </w:pPr>
      <w:r>
        <w:rPr>
          <w:rFonts w:hint="eastAsia" w:ascii="仿宋" w:hAnsi="仿宋" w:eastAsia="仿宋" w:cs="仿宋_GB2312"/>
          <w:b/>
          <w:sz w:val="28"/>
          <w:szCs w:val="28"/>
        </w:rPr>
        <w:t>五、投标报名</w:t>
      </w: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1、各投标人需在开标之前至铜陵有色建安公司报名。因投标人未在指定要求时间报名或未通过资格审查的视为无效投标。</w:t>
      </w: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2、报名时投标人需提供报名资料。报名资料包括加盖公章的营业执照副本的复印件、法人身份证复印件（经办人不是法人代表的要提供法人代表授权委托书、代理人身份证复印件）等资料。</w:t>
      </w: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3、报名自招标公告发布之日起至2023年10月11日12:00止</w:t>
      </w: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4、报名地点：铜陵有色金属集团铜冠建筑安装股份有限公司物资部（黄山大道南段879号四楼）</w:t>
      </w: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5、联 系 人：叶明陵（13865621916）、任凡（15656263008）</w:t>
      </w:r>
    </w:p>
    <w:p>
      <w:pPr>
        <w:spacing w:line="360" w:lineRule="auto"/>
        <w:jc w:val="center"/>
        <w:rPr>
          <w:rFonts w:hint="eastAsia" w:ascii="仿宋" w:hAnsi="仿宋" w:eastAsia="仿宋" w:cs="仿宋_GB2312"/>
          <w:b/>
          <w:sz w:val="28"/>
          <w:szCs w:val="28"/>
        </w:rPr>
      </w:pPr>
    </w:p>
    <w:p>
      <w:pPr>
        <w:spacing w:line="360" w:lineRule="auto"/>
        <w:jc w:val="center"/>
        <w:rPr>
          <w:rFonts w:hint="eastAsia" w:ascii="仿宋" w:hAnsi="仿宋" w:eastAsia="仿宋" w:cs="仿宋_GB2312"/>
          <w:b/>
          <w:sz w:val="28"/>
          <w:szCs w:val="28"/>
        </w:rPr>
      </w:pPr>
    </w:p>
    <w:p>
      <w:pPr>
        <w:numPr>
          <w:ilvl w:val="0"/>
          <w:numId w:val="2"/>
        </w:numPr>
        <w:spacing w:line="360" w:lineRule="auto"/>
        <w:jc w:val="center"/>
        <w:rPr>
          <w:rFonts w:hint="eastAsia" w:ascii="仿宋" w:hAnsi="仿宋" w:eastAsia="仿宋" w:cs="仿宋_GB2312"/>
          <w:b/>
          <w:sz w:val="28"/>
          <w:szCs w:val="28"/>
        </w:rPr>
      </w:pPr>
      <w:r>
        <w:rPr>
          <w:rFonts w:hint="eastAsia" w:ascii="仿宋" w:hAnsi="仿宋" w:eastAsia="仿宋" w:cs="仿宋_GB2312"/>
          <w:b/>
          <w:sz w:val="28"/>
          <w:szCs w:val="28"/>
        </w:rPr>
        <w:t>保证金</w:t>
      </w:r>
    </w:p>
    <w:p>
      <w:pPr>
        <w:numPr>
          <w:numId w:val="0"/>
        </w:numPr>
        <w:spacing w:line="360" w:lineRule="auto"/>
        <w:jc w:val="both"/>
        <w:rPr>
          <w:rFonts w:hint="eastAsia" w:ascii="仿宋" w:hAnsi="仿宋" w:eastAsia="仿宋" w:cs="仿宋_GB2312"/>
          <w:b/>
          <w:sz w:val="28"/>
          <w:szCs w:val="28"/>
        </w:rPr>
      </w:pPr>
    </w:p>
    <w:p>
      <w:pPr>
        <w:suppressAutoHyphens/>
        <w:wordWrap w:val="0"/>
        <w:topLinePunct/>
        <w:spacing w:line="360" w:lineRule="auto"/>
        <w:ind w:firstLine="480" w:firstLineChars="200"/>
        <w:jc w:val="left"/>
        <w:rPr>
          <w:rFonts w:ascii="仿宋" w:hAnsi="仿宋" w:eastAsia="仿宋" w:cs="仿宋_GB2312"/>
          <w:b/>
          <w:bCs/>
          <w:color w:val="C00000"/>
          <w:sz w:val="24"/>
          <w:szCs w:val="24"/>
        </w:rPr>
      </w:pPr>
      <w:r>
        <w:rPr>
          <w:rFonts w:hint="eastAsia" w:ascii="仿宋" w:hAnsi="仿宋" w:eastAsia="仿宋" w:cs="仿宋_GB2312"/>
          <w:sz w:val="24"/>
          <w:szCs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szCs w:val="24"/>
        </w:rPr>
        <w:t>证金</w:t>
      </w:r>
      <w:r>
        <w:rPr>
          <w:rFonts w:hint="eastAsia" w:ascii="仿宋" w:hAnsi="仿宋" w:eastAsia="仿宋" w:cs="仿宋_GB2312"/>
          <w:b/>
          <w:bCs/>
          <w:color w:val="000000"/>
          <w:sz w:val="24"/>
          <w:szCs w:val="24"/>
          <w:u w:val="single"/>
        </w:rPr>
        <w:t>叁万元整</w:t>
      </w:r>
      <w:r>
        <w:rPr>
          <w:rFonts w:hint="eastAsia" w:ascii="仿宋" w:hAnsi="仿宋" w:eastAsia="仿宋" w:cs="仿宋_GB2312"/>
          <w:color w:val="000000"/>
          <w:sz w:val="24"/>
          <w:szCs w:val="24"/>
        </w:rPr>
        <w:t>；</w:t>
      </w:r>
      <w:r>
        <w:rPr>
          <w:rFonts w:hint="eastAsia" w:ascii="仿宋" w:hAnsi="仿宋" w:eastAsia="仿宋" w:cs="仿宋_GB2312"/>
          <w:sz w:val="24"/>
          <w:szCs w:val="24"/>
        </w:rPr>
        <w:t>（</w:t>
      </w:r>
      <w:r>
        <w:rPr>
          <w:rFonts w:hint="eastAsia" w:ascii="仿宋" w:hAnsi="仿宋" w:eastAsia="仿宋" w:cs="仿宋_GB2312"/>
          <w:sz w:val="24"/>
          <w:szCs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szCs w:val="24"/>
        </w:rPr>
        <w:t>）</w:t>
      </w:r>
      <w:r>
        <w:rPr>
          <w:rFonts w:hint="eastAsia" w:ascii="仿宋" w:hAnsi="仿宋" w:eastAsia="仿宋" w:cs="仿宋_GB2312"/>
          <w:b/>
          <w:bCs/>
          <w:sz w:val="24"/>
          <w:szCs w:val="24"/>
        </w:rPr>
        <w:t>无投标保证金或未出具投标保证金承诺书视为无效投标。</w:t>
      </w:r>
      <w:r>
        <w:rPr>
          <w:rFonts w:hint="eastAsia" w:ascii="仿宋" w:hAnsi="仿宋" w:eastAsia="仿宋" w:cs="仿宋_GB2312"/>
          <w:sz w:val="24"/>
          <w:szCs w:val="24"/>
        </w:rPr>
        <w:t>投标保证金须对公账户转账，不接受个人账户转账，同时要求注明</w:t>
      </w:r>
      <w:r>
        <w:rPr>
          <w:rFonts w:hint="eastAsia" w:ascii="仿宋" w:hAnsi="仿宋" w:eastAsia="仿宋" w:cs="仿宋_GB2312"/>
          <w:b/>
          <w:bCs/>
          <w:sz w:val="24"/>
          <w:szCs w:val="24"/>
          <w:u w:val="single"/>
        </w:rPr>
        <w:t>铜陵铜冠建安公司第一事业部赤峰金通铜业项目混凝土材料一批</w:t>
      </w:r>
      <w:r>
        <w:rPr>
          <w:rFonts w:hint="eastAsia" w:ascii="仿宋" w:hAnsi="仿宋" w:eastAsia="仿宋" w:cs="仿宋_GB2312"/>
          <w:b/>
          <w:bCs/>
          <w:color w:val="000000" w:themeColor="text1"/>
          <w:sz w:val="24"/>
          <w:szCs w:val="24"/>
          <w:u w:val="single"/>
          <w14:textFill>
            <w14:solidFill>
              <w14:schemeClr w14:val="tx1"/>
            </w14:solidFill>
          </w14:textFill>
        </w:rPr>
        <w:t>TGJA-WZ-2023146</w:t>
      </w:r>
      <w:r>
        <w:rPr>
          <w:rFonts w:hint="eastAsia" w:ascii="仿宋" w:hAnsi="仿宋" w:eastAsia="仿宋" w:cs="仿宋_GB2312"/>
          <w:b/>
          <w:bCs/>
          <w:sz w:val="24"/>
          <w:szCs w:val="24"/>
          <w:u w:val="single"/>
        </w:rPr>
        <w:t>投标保证金。</w:t>
      </w:r>
    </w:p>
    <w:p>
      <w:pPr>
        <w:spacing w:line="360" w:lineRule="auto"/>
        <w:ind w:firstLine="482" w:firstLineChars="200"/>
        <w:jc w:val="left"/>
        <w:rPr>
          <w:rFonts w:ascii="仿宋" w:hAnsi="仿宋" w:eastAsia="仿宋" w:cs="仿宋_GB2312"/>
          <w:b/>
          <w:bCs/>
          <w:color w:val="C00000"/>
          <w:sz w:val="24"/>
          <w:szCs w:val="24"/>
        </w:rPr>
      </w:pPr>
      <w:r>
        <w:rPr>
          <w:rFonts w:hint="eastAsia" w:ascii="仿宋" w:hAnsi="仿宋" w:eastAsia="仿宋" w:cs="仿宋_GB2312"/>
          <w:b/>
          <w:bCs/>
          <w:color w:val="C00000"/>
          <w:sz w:val="24"/>
          <w:szCs w:val="24"/>
        </w:rPr>
        <w:t xml:space="preserve">2、下列任何情况发生时，投标保证金将被不予退还： </w:t>
      </w:r>
    </w:p>
    <w:p>
      <w:pPr>
        <w:spacing w:line="360" w:lineRule="auto"/>
        <w:ind w:firstLine="480" w:firstLineChars="200"/>
        <w:jc w:val="left"/>
        <w:rPr>
          <w:rFonts w:ascii="仿宋" w:hAnsi="仿宋" w:eastAsia="仿宋" w:cs="仿宋_GB2312"/>
          <w:color w:val="FF0000"/>
          <w:sz w:val="24"/>
          <w:szCs w:val="24"/>
        </w:rPr>
      </w:pPr>
      <w:r>
        <w:rPr>
          <w:rFonts w:hint="eastAsia" w:ascii="仿宋" w:hAnsi="仿宋" w:eastAsia="仿宋" w:cs="仿宋_GB2312"/>
          <w:color w:val="FF0000"/>
          <w:sz w:val="24"/>
          <w:szCs w:val="24"/>
        </w:rPr>
        <w:t xml:space="preserve">（1）投标人在投标截止后至投标有效期内撤回投标文件的； </w:t>
      </w:r>
    </w:p>
    <w:p>
      <w:pPr>
        <w:spacing w:line="360" w:lineRule="auto"/>
        <w:ind w:firstLine="480" w:firstLineChars="200"/>
        <w:jc w:val="left"/>
        <w:rPr>
          <w:rFonts w:ascii="仿宋" w:hAnsi="仿宋" w:eastAsia="仿宋" w:cs="仿宋_GB2312"/>
          <w:color w:val="FF0000"/>
          <w:sz w:val="24"/>
          <w:szCs w:val="24"/>
        </w:rPr>
      </w:pPr>
      <w:r>
        <w:rPr>
          <w:rFonts w:hint="eastAsia" w:ascii="仿宋" w:hAnsi="仿宋" w:eastAsia="仿宋" w:cs="仿宋_GB2312"/>
          <w:color w:val="FF0000"/>
          <w:sz w:val="24"/>
          <w:szCs w:val="24"/>
        </w:rPr>
        <w:t>（2）中标人未能在规定期限内按照招标文件签订合同协议；</w:t>
      </w:r>
    </w:p>
    <w:p>
      <w:pPr>
        <w:spacing w:line="360" w:lineRule="auto"/>
        <w:ind w:firstLine="480" w:firstLineChars="200"/>
        <w:jc w:val="left"/>
        <w:rPr>
          <w:rFonts w:ascii="仿宋" w:hAnsi="仿宋" w:eastAsia="仿宋" w:cs="仿宋_GB2312"/>
          <w:color w:val="FF0000"/>
          <w:sz w:val="24"/>
          <w:szCs w:val="24"/>
        </w:rPr>
      </w:pPr>
      <w:r>
        <w:rPr>
          <w:rFonts w:hint="eastAsia" w:ascii="仿宋" w:hAnsi="仿宋" w:eastAsia="仿宋" w:cs="仿宋_GB2312"/>
          <w:color w:val="FF0000"/>
          <w:sz w:val="24"/>
          <w:szCs w:val="24"/>
        </w:rPr>
        <w:t>（3）签署合同后，未能在规定的时间内提供履约保证金；</w:t>
      </w:r>
    </w:p>
    <w:p>
      <w:pPr>
        <w:spacing w:line="360" w:lineRule="auto"/>
        <w:ind w:firstLine="480" w:firstLineChars="200"/>
        <w:jc w:val="left"/>
        <w:rPr>
          <w:rFonts w:ascii="仿宋" w:hAnsi="仿宋" w:eastAsia="仿宋" w:cs="仿宋_GB2312"/>
          <w:color w:val="FF0000"/>
          <w:sz w:val="24"/>
          <w:szCs w:val="24"/>
        </w:rPr>
      </w:pPr>
      <w:r>
        <w:rPr>
          <w:rFonts w:hint="eastAsia" w:ascii="仿宋" w:hAnsi="仿宋" w:eastAsia="仿宋" w:cs="仿宋_GB2312"/>
          <w:color w:val="FF0000"/>
          <w:sz w:val="24"/>
          <w:szCs w:val="24"/>
        </w:rPr>
        <w:t>（4）投标人在招标中存在违规和违法行为的。</w:t>
      </w:r>
    </w:p>
    <w:p>
      <w:pPr>
        <w:spacing w:line="360" w:lineRule="auto"/>
        <w:ind w:firstLine="480" w:firstLineChars="200"/>
        <w:jc w:val="left"/>
        <w:rPr>
          <w:rFonts w:ascii="仿宋" w:hAnsi="仿宋" w:eastAsia="仿宋" w:cs="仿宋_GB2312"/>
          <w:color w:val="FF0000"/>
          <w:sz w:val="24"/>
          <w:szCs w:val="24"/>
          <w:u w:val="single"/>
        </w:rPr>
      </w:pPr>
      <w:r>
        <w:rPr>
          <w:rFonts w:hint="eastAsia" w:ascii="仿宋" w:hAnsi="仿宋" w:eastAsia="仿宋" w:cs="仿宋_GB2312"/>
          <w:color w:val="FF0000"/>
          <w:sz w:val="24"/>
          <w:szCs w:val="24"/>
        </w:rPr>
        <w:t>（5）中标人因自身原因放弃中标资格的。</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 xml:space="preserve">3、在签订合同后，中标人须交纳履约保证金。履约保证金金额为中标合同总金额的 </w:t>
      </w:r>
      <w:r>
        <w:rPr>
          <w:rFonts w:hint="eastAsia" w:ascii="仿宋" w:hAnsi="仿宋" w:eastAsia="仿宋" w:cs="仿宋_GB2312"/>
          <w:sz w:val="24"/>
          <w:szCs w:val="24"/>
          <w:u w:val="single"/>
        </w:rPr>
        <w:t xml:space="preserve">10% </w:t>
      </w:r>
      <w:r>
        <w:rPr>
          <w:rFonts w:hint="eastAsia" w:ascii="仿宋" w:hAnsi="仿宋" w:eastAsia="仿宋" w:cs="仿宋_GB2312"/>
          <w:sz w:val="24"/>
          <w:szCs w:val="24"/>
        </w:rPr>
        <w:t>（</w:t>
      </w:r>
      <w:r>
        <w:rPr>
          <w:rFonts w:hint="eastAsia" w:ascii="仿宋" w:hAnsi="仿宋" w:eastAsia="仿宋" w:cs="仿宋_GB2312"/>
          <w:sz w:val="24"/>
          <w:szCs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szCs w:val="24"/>
        </w:rPr>
        <w:t>）</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4、招标人与中标人签订合同后</w:t>
      </w:r>
      <w:r>
        <w:rPr>
          <w:rFonts w:hint="eastAsia" w:ascii="仿宋" w:hAnsi="仿宋" w:eastAsia="仿宋" w:cs="仿宋_GB2312"/>
          <w:b/>
          <w:bCs/>
          <w:color w:val="C00000"/>
          <w:sz w:val="24"/>
          <w:szCs w:val="24"/>
        </w:rPr>
        <w:t>7</w:t>
      </w:r>
      <w:r>
        <w:rPr>
          <w:rFonts w:hint="eastAsia" w:ascii="仿宋" w:hAnsi="仿宋" w:eastAsia="仿宋" w:cs="仿宋_GB2312"/>
          <w:sz w:val="24"/>
          <w:szCs w:val="24"/>
        </w:rPr>
        <w:t>日内，向未中标的投标人退还投标保证金（无息），中标人在签订合同并交纳履约保证金后退还投标保证金（无息）。</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5、公司对公账户信息</w:t>
      </w: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账户名称：</w:t>
      </w:r>
      <w:r>
        <w:rPr>
          <w:rFonts w:hint="eastAsia" w:ascii="仿宋" w:hAnsi="仿宋" w:eastAsia="仿宋" w:cs="仿宋_GB2312"/>
          <w:sz w:val="24"/>
          <w:szCs w:val="24"/>
          <w:u w:val="single"/>
        </w:rPr>
        <w:t>铜陵有色金属集团铜冠建筑安装股份有限公司</w:t>
      </w: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账    号：</w:t>
      </w:r>
      <w:r>
        <w:rPr>
          <w:rFonts w:hint="eastAsia" w:ascii="仿宋" w:hAnsi="仿宋" w:eastAsia="仿宋" w:cs="仿宋_GB2312"/>
          <w:sz w:val="24"/>
          <w:szCs w:val="24"/>
          <w:u w:val="single"/>
        </w:rPr>
        <w:t>1308024009200056147</w:t>
      </w: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开 户 行：</w:t>
      </w:r>
      <w:r>
        <w:rPr>
          <w:rFonts w:hint="eastAsia" w:ascii="仿宋" w:hAnsi="仿宋" w:eastAsia="仿宋" w:cs="仿宋_GB2312"/>
          <w:sz w:val="24"/>
          <w:szCs w:val="24"/>
          <w:u w:val="single"/>
        </w:rPr>
        <w:t>工行铜陵铜都支行</w:t>
      </w:r>
    </w:p>
    <w:p>
      <w:pPr>
        <w:spacing w:line="360" w:lineRule="auto"/>
        <w:ind w:firstLine="1687" w:firstLineChars="700"/>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8"/>
          <w:szCs w:val="28"/>
        </w:rPr>
      </w:pPr>
    </w:p>
    <w:p>
      <w:pPr>
        <w:numPr>
          <w:ilvl w:val="0"/>
          <w:numId w:val="3"/>
        </w:numPr>
        <w:spacing w:line="360" w:lineRule="auto"/>
        <w:jc w:val="center"/>
        <w:rPr>
          <w:rFonts w:hint="eastAsia" w:ascii="仿宋" w:hAnsi="仿宋" w:eastAsia="仿宋" w:cs="仿宋_GB2312"/>
          <w:b/>
          <w:sz w:val="28"/>
          <w:szCs w:val="28"/>
        </w:rPr>
      </w:pPr>
      <w:r>
        <w:rPr>
          <w:rFonts w:hint="eastAsia" w:ascii="仿宋" w:hAnsi="仿宋" w:eastAsia="仿宋" w:cs="仿宋_GB2312"/>
          <w:b/>
          <w:sz w:val="28"/>
          <w:szCs w:val="28"/>
        </w:rPr>
        <w:t>投标文件的递交</w:t>
      </w:r>
    </w:p>
    <w:p>
      <w:pPr>
        <w:numPr>
          <w:numId w:val="0"/>
        </w:numPr>
        <w:spacing w:line="360" w:lineRule="auto"/>
        <w:jc w:val="both"/>
        <w:rPr>
          <w:rFonts w:hint="eastAsia" w:ascii="仿宋" w:hAnsi="仿宋" w:eastAsia="仿宋" w:cs="仿宋_GB2312"/>
          <w:b/>
          <w:sz w:val="28"/>
          <w:szCs w:val="28"/>
        </w:rPr>
      </w:pP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1、投标文件递交的截止时间：</w:t>
      </w:r>
      <w:r>
        <w:rPr>
          <w:rFonts w:hint="eastAsia" w:ascii="仿宋" w:hAnsi="仿宋" w:eastAsia="仿宋" w:cs="仿宋_GB2312"/>
          <w:sz w:val="24"/>
          <w:szCs w:val="24"/>
          <w:u w:val="single"/>
        </w:rPr>
        <w:t>2023年10月12日9:00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2、投标文件递交地点：铜陵有色金属集团铜冠建筑安装股份有限公司经营部（黄山大道南段879号四楼）</w:t>
      </w: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3、投标文件收件人：</w:t>
      </w:r>
      <w:r>
        <w:rPr>
          <w:rFonts w:hint="eastAsia" w:ascii="仿宋" w:hAnsi="仿宋" w:eastAsia="仿宋" w:cs="仿宋_GB2312"/>
          <w:sz w:val="24"/>
          <w:szCs w:val="24"/>
          <w:u w:val="single"/>
        </w:rPr>
        <w:t>黄赟（18656211500）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4、逾期送达的或未按规定送达指定地点的投标文件，招标人不予受理。</w:t>
      </w:r>
    </w:p>
    <w:p>
      <w:pPr>
        <w:spacing w:line="360" w:lineRule="auto"/>
        <w:ind w:firstLine="1928" w:firstLineChars="800"/>
        <w:rPr>
          <w:rFonts w:hint="eastAsia" w:ascii="仿宋" w:hAnsi="仿宋" w:eastAsia="仿宋" w:cs="仿宋_GB2312"/>
          <w:b/>
          <w:sz w:val="24"/>
          <w:szCs w:val="24"/>
        </w:rPr>
      </w:pPr>
    </w:p>
    <w:p>
      <w:pPr>
        <w:numPr>
          <w:ilvl w:val="0"/>
          <w:numId w:val="3"/>
        </w:numPr>
        <w:spacing w:line="360" w:lineRule="auto"/>
        <w:ind w:left="0" w:leftChars="0" w:firstLine="0" w:firstLineChars="0"/>
        <w:jc w:val="center"/>
        <w:rPr>
          <w:rFonts w:hint="eastAsia" w:ascii="仿宋" w:hAnsi="仿宋" w:eastAsia="仿宋" w:cs="仿宋_GB2312"/>
          <w:b/>
          <w:sz w:val="28"/>
          <w:szCs w:val="28"/>
        </w:rPr>
      </w:pPr>
      <w:r>
        <w:rPr>
          <w:rFonts w:hint="eastAsia" w:ascii="仿宋" w:hAnsi="仿宋" w:eastAsia="仿宋" w:cs="仿宋_GB2312"/>
          <w:b/>
          <w:sz w:val="28"/>
          <w:szCs w:val="28"/>
        </w:rPr>
        <w:t>投标人须知</w:t>
      </w:r>
    </w:p>
    <w:p>
      <w:pPr>
        <w:numPr>
          <w:numId w:val="0"/>
        </w:numPr>
        <w:spacing w:line="360" w:lineRule="auto"/>
        <w:ind w:leftChars="0"/>
        <w:jc w:val="both"/>
        <w:rPr>
          <w:rFonts w:hint="eastAsia" w:ascii="仿宋" w:hAnsi="仿宋" w:eastAsia="仿宋" w:cs="仿宋_GB2312"/>
          <w:b/>
          <w:sz w:val="28"/>
          <w:szCs w:val="28"/>
        </w:rPr>
      </w:pP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1、与本次招标材料的质量相关要求</w:t>
      </w: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（1）材料质量要求：符合</w:t>
      </w:r>
      <w:r>
        <w:rPr>
          <w:rFonts w:ascii="仿宋" w:hAnsi="仿宋" w:eastAsia="仿宋" w:cs="仿宋_GB2312"/>
          <w:sz w:val="24"/>
          <w:szCs w:val="24"/>
        </w:rPr>
        <w:t>《预拌混凝土》GB/T14902-20</w:t>
      </w:r>
      <w:r>
        <w:rPr>
          <w:rFonts w:hint="eastAsia" w:ascii="仿宋" w:hAnsi="仿宋" w:eastAsia="仿宋" w:cs="仿宋_GB2312"/>
          <w:sz w:val="24"/>
          <w:szCs w:val="24"/>
        </w:rPr>
        <w:t>12</w:t>
      </w:r>
      <w:r>
        <w:rPr>
          <w:rFonts w:ascii="仿宋" w:hAnsi="仿宋" w:eastAsia="仿宋" w:cs="仿宋_GB2312"/>
          <w:sz w:val="24"/>
          <w:szCs w:val="24"/>
        </w:rPr>
        <w:t>标准相关规定</w:t>
      </w:r>
      <w:r>
        <w:rPr>
          <w:rFonts w:hint="eastAsia" w:ascii="仿宋" w:hAnsi="仿宋" w:eastAsia="仿宋" w:cs="仿宋_GB2312"/>
          <w:sz w:val="24"/>
          <w:szCs w:val="24"/>
        </w:rPr>
        <w:t>要求。</w:t>
      </w: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（2）投标人如若中标，提供的材料必须符合技术指标要求。</w:t>
      </w: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（3）若达不到招标人要求的，中标人无条件将该批货物拉回且不计货款，动用招标人机械的收取相应费用。</w:t>
      </w:r>
    </w:p>
    <w:p>
      <w:pPr>
        <w:spacing w:line="360" w:lineRule="auto"/>
        <w:ind w:firstLine="547" w:firstLineChars="228"/>
        <w:rPr>
          <w:rFonts w:ascii="仿宋" w:hAnsi="仿宋" w:eastAsia="仿宋" w:cs="仿宋_GB2312"/>
          <w:sz w:val="24"/>
          <w:szCs w:val="24"/>
          <w:u w:val="single"/>
        </w:rPr>
      </w:pPr>
      <w:r>
        <w:rPr>
          <w:rFonts w:hint="eastAsia" w:ascii="仿宋" w:hAnsi="仿宋" w:eastAsia="仿宋" w:cs="仿宋_GB2312"/>
          <w:sz w:val="24"/>
          <w:szCs w:val="24"/>
        </w:rPr>
        <w:t>（4）投标人如若中标，须向招标人交纳中标金额的10%作为履约保证金（可将货款转为履约保证金）。</w:t>
      </w:r>
      <w:r>
        <w:rPr>
          <w:rFonts w:hint="eastAsia" w:ascii="仿宋" w:hAnsi="仿宋" w:eastAsia="仿宋" w:cs="仿宋_GB2312"/>
          <w:b/>
          <w:bCs/>
          <w:sz w:val="24"/>
          <w:szCs w:val="24"/>
        </w:rPr>
        <w:t>中标人如未能有效履行合同，如发生质量问题、工期延误、方量不实、安全事故等情况（包括但不限于以上情况）将全额扣除履约保证金。同时因中标人的原因造成业主、监理等有关部门对招标人的处罚及相关损失，由中标人承担。</w:t>
      </w: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2、付款方式</w:t>
      </w:r>
    </w:p>
    <w:p>
      <w:pPr>
        <w:spacing w:line="360" w:lineRule="auto"/>
        <w:ind w:firstLine="547" w:firstLineChars="228"/>
        <w:rPr>
          <w:rFonts w:ascii="仿宋" w:hAnsi="仿宋" w:eastAsia="仿宋" w:cs="仿宋_GB2312"/>
          <w:color w:val="FF0000"/>
          <w:sz w:val="24"/>
          <w:szCs w:val="24"/>
          <w:u w:val="single"/>
        </w:rPr>
      </w:pPr>
      <w:r>
        <w:rPr>
          <w:rFonts w:hint="eastAsia" w:ascii="仿宋" w:hAnsi="仿宋" w:eastAsia="仿宋" w:cs="仿宋_GB2312"/>
          <w:color w:val="FF0000"/>
          <w:sz w:val="24"/>
          <w:szCs w:val="24"/>
          <w:u w:val="single"/>
        </w:rPr>
        <w:t>按月结算（每月20日核对数量开具本月发票入账，次月支付，每月付进账额度50%，年底支付至80%），其余货款工程桩基施工结束后半年内付清。</w:t>
      </w:r>
    </w:p>
    <w:p>
      <w:pPr>
        <w:spacing w:line="360" w:lineRule="auto"/>
        <w:ind w:firstLine="547" w:firstLineChars="228"/>
        <w:rPr>
          <w:rFonts w:ascii="仿宋" w:hAnsi="仿宋" w:eastAsia="仿宋" w:cs="仿宋_GB2312"/>
          <w:color w:val="FF0000"/>
          <w:sz w:val="24"/>
          <w:szCs w:val="24"/>
        </w:rPr>
      </w:pPr>
      <w:r>
        <w:rPr>
          <w:rFonts w:hint="eastAsia" w:ascii="仿宋" w:hAnsi="仿宋" w:eastAsia="仿宋" w:cs="仿宋_GB2312"/>
          <w:color w:val="FF0000"/>
          <w:sz w:val="24"/>
          <w:szCs w:val="24"/>
        </w:rPr>
        <w:t>3、报价相关要求</w:t>
      </w:r>
    </w:p>
    <w:p>
      <w:pPr>
        <w:spacing w:line="360" w:lineRule="auto"/>
        <w:ind w:firstLine="547" w:firstLineChars="228"/>
        <w:rPr>
          <w:rFonts w:ascii="仿宋" w:hAnsi="仿宋" w:eastAsia="仿宋" w:cs="仿宋_GB2312"/>
          <w:color w:val="FF0000"/>
          <w:sz w:val="24"/>
          <w:szCs w:val="24"/>
        </w:rPr>
      </w:pPr>
      <w:r>
        <w:rPr>
          <w:rFonts w:hint="eastAsia" w:ascii="仿宋" w:hAnsi="仿宋" w:eastAsia="仿宋" w:cs="仿宋_GB2312"/>
          <w:color w:val="FF0000"/>
          <w:sz w:val="24"/>
          <w:szCs w:val="24"/>
        </w:rPr>
        <w:t>（1）</w:t>
      </w:r>
      <w:r>
        <w:rPr>
          <w:rFonts w:hint="eastAsia" w:ascii="仿宋" w:hAnsi="仿宋" w:eastAsia="仿宋" w:cs="仿宋_GB2312"/>
          <w:color w:val="FF0000"/>
          <w:sz w:val="24"/>
          <w:szCs w:val="24"/>
          <w:u w:val="single"/>
        </w:rPr>
        <w:t>本次报价按混凝土标号报价。</w:t>
      </w:r>
    </w:p>
    <w:p>
      <w:pPr>
        <w:spacing w:line="360" w:lineRule="auto"/>
        <w:ind w:firstLine="547" w:firstLineChars="228"/>
        <w:rPr>
          <w:rFonts w:ascii="仿宋" w:hAnsi="仿宋" w:eastAsia="仿宋" w:cs="仿宋_GB2312"/>
          <w:color w:val="FF0000"/>
          <w:sz w:val="24"/>
          <w:szCs w:val="24"/>
          <w:u w:val="single"/>
        </w:rPr>
      </w:pPr>
      <w:r>
        <w:rPr>
          <w:rFonts w:hint="eastAsia" w:ascii="仿宋" w:hAnsi="仿宋" w:eastAsia="仿宋" w:cs="仿宋_GB2312"/>
          <w:color w:val="FF0000"/>
          <w:sz w:val="24"/>
          <w:szCs w:val="24"/>
        </w:rPr>
        <w:t>（2）</w:t>
      </w:r>
      <w:r>
        <w:rPr>
          <w:rFonts w:hint="eastAsia" w:ascii="仿宋" w:hAnsi="仿宋" w:eastAsia="仿宋" w:cs="仿宋_GB2312"/>
          <w:color w:val="FF0000"/>
          <w:sz w:val="24"/>
          <w:szCs w:val="24"/>
          <w:u w:val="single"/>
        </w:rPr>
        <w:t>报价为含税（税率必须注明）、含运费价。</w:t>
      </w: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（3）各投标单位在投标报价前应仔细审阅招标公告、报价表及报价说明等与此次报价相关的所有资料。报价要谨慎，</w:t>
      </w:r>
      <w:r>
        <w:rPr>
          <w:rFonts w:hint="eastAsia" w:ascii="仿宋" w:hAnsi="仿宋" w:eastAsia="仿宋" w:cs="仿宋_GB2312"/>
          <w:b/>
          <w:bCs/>
          <w:sz w:val="24"/>
          <w:szCs w:val="24"/>
        </w:rPr>
        <w:t>一旦中标，视为理解并考虑了我公司一切要求的报价，不得以任何理由变更。</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4、标书相关要求</w:t>
      </w:r>
    </w:p>
    <w:p>
      <w:pPr>
        <w:spacing w:line="360" w:lineRule="auto"/>
        <w:ind w:firstLine="549" w:firstLineChars="228"/>
        <w:rPr>
          <w:rFonts w:ascii="仿宋" w:hAnsi="仿宋" w:eastAsia="仿宋" w:cs="仿宋_GB2312"/>
          <w:b/>
          <w:bCs/>
          <w:sz w:val="24"/>
          <w:szCs w:val="24"/>
        </w:rPr>
      </w:pPr>
      <w:r>
        <w:rPr>
          <w:rFonts w:hint="eastAsia" w:ascii="仿宋" w:hAnsi="仿宋" w:eastAsia="仿宋" w:cs="仿宋_GB2312"/>
          <w:b/>
          <w:bCs/>
          <w:sz w:val="24"/>
          <w:szCs w:val="24"/>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以上事项不符合要求的视为无效投标。</w:t>
      </w:r>
    </w:p>
    <w:p>
      <w:pPr>
        <w:spacing w:line="360" w:lineRule="auto"/>
        <w:ind w:firstLine="549" w:firstLineChars="228"/>
        <w:rPr>
          <w:rFonts w:ascii="仿宋" w:hAnsi="仿宋" w:eastAsia="仿宋" w:cs="仿宋_GB2312"/>
          <w:b/>
          <w:bCs/>
          <w:sz w:val="24"/>
          <w:szCs w:val="24"/>
        </w:rPr>
      </w:pPr>
      <w:r>
        <w:rPr>
          <w:rFonts w:hint="eastAsia" w:ascii="仿宋" w:hAnsi="仿宋" w:eastAsia="仿宋" w:cs="仿宋_GB2312"/>
          <w:b/>
          <w:bCs/>
          <w:sz w:val="24"/>
          <w:szCs w:val="24"/>
        </w:rPr>
        <w:t>（2）投标文件密封袋封口处应密封严实、完整，加盖投标单位公章及法人章，并且注明招标编号及材料名称。</w:t>
      </w:r>
      <w:r>
        <w:rPr>
          <w:rFonts w:hint="eastAsia" w:ascii="仿宋" w:hAnsi="仿宋" w:eastAsia="仿宋" w:cs="仿宋_GB2312"/>
          <w:sz w:val="24"/>
          <w:szCs w:val="24"/>
        </w:rPr>
        <w:t>未按装订要求装订的，我公司不负责相关保密要求。</w:t>
      </w:r>
      <w:r>
        <w:rPr>
          <w:rFonts w:hint="eastAsia" w:ascii="仿宋" w:hAnsi="仿宋" w:eastAsia="仿宋" w:cs="仿宋_GB2312"/>
          <w:b/>
          <w:bCs/>
          <w:sz w:val="24"/>
          <w:szCs w:val="24"/>
        </w:rPr>
        <w:t>因投标人制作、密封、寄送报价文件不符合要求的视为无效投标。</w:t>
      </w:r>
    </w:p>
    <w:p>
      <w:pPr>
        <w:spacing w:line="360" w:lineRule="auto"/>
        <w:ind w:firstLine="487" w:firstLineChars="202"/>
        <w:rPr>
          <w:rFonts w:ascii="仿宋" w:hAnsi="仿宋" w:eastAsia="仿宋" w:cs="仿宋_GB2312"/>
          <w:b/>
          <w:bCs/>
          <w:sz w:val="24"/>
          <w:szCs w:val="24"/>
        </w:rPr>
      </w:pPr>
      <w:r>
        <w:rPr>
          <w:rFonts w:hint="eastAsia" w:ascii="仿宋" w:hAnsi="仿宋" w:eastAsia="仿宋" w:cs="仿宋_GB2312"/>
          <w:b/>
          <w:bCs/>
          <w:sz w:val="24"/>
          <w:szCs w:val="24"/>
        </w:rPr>
        <w:t>（3）投标保证金汇款凭证复印件必须内附在投标文件中。无投标保证金或投标保证金汇款凭证复印件未内附在投标文件中的，视为无效投标。</w:t>
      </w:r>
    </w:p>
    <w:p>
      <w:pPr>
        <w:spacing w:line="360" w:lineRule="auto"/>
        <w:ind w:firstLine="484" w:firstLineChars="202"/>
        <w:rPr>
          <w:rFonts w:ascii="仿宋" w:hAnsi="仿宋" w:eastAsia="仿宋" w:cs="仿宋_GB2312"/>
          <w:bCs/>
          <w:sz w:val="24"/>
          <w:szCs w:val="24"/>
        </w:rPr>
      </w:pPr>
      <w:r>
        <w:rPr>
          <w:rFonts w:hint="eastAsia" w:ascii="仿宋" w:hAnsi="仿宋" w:eastAsia="仿宋" w:cs="仿宋_GB2312"/>
          <w:sz w:val="24"/>
          <w:szCs w:val="24"/>
        </w:rPr>
        <w:t>（4）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Cs/>
          <w:sz w:val="24"/>
          <w:szCs w:val="24"/>
        </w:rPr>
        <w:t>以上事项不符合要求的视为无效投标。</w:t>
      </w:r>
    </w:p>
    <w:p>
      <w:pPr>
        <w:spacing w:line="360" w:lineRule="auto"/>
        <w:ind w:firstLine="484" w:firstLineChars="202"/>
        <w:rPr>
          <w:rFonts w:ascii="仿宋" w:hAnsi="仿宋" w:eastAsia="仿宋" w:cs="仿宋_GB2312"/>
          <w:bCs/>
          <w:sz w:val="24"/>
          <w:szCs w:val="24"/>
        </w:rPr>
      </w:pPr>
      <w:r>
        <w:rPr>
          <w:rFonts w:hint="eastAsia" w:ascii="仿宋" w:hAnsi="仿宋" w:eastAsia="仿宋" w:cs="仿宋_GB2312"/>
          <w:sz w:val="24"/>
          <w:szCs w:val="24"/>
        </w:rPr>
        <w:t>（5）投标人投标时需提供加盖公章的营业执照副本的复印件及其它资质资料。未提供</w:t>
      </w:r>
      <w:r>
        <w:rPr>
          <w:rFonts w:hint="eastAsia" w:ascii="仿宋" w:hAnsi="仿宋" w:eastAsia="仿宋" w:cs="仿宋_GB2312"/>
          <w:bCs/>
          <w:sz w:val="24"/>
          <w:szCs w:val="24"/>
        </w:rPr>
        <w:t>的视为无效投标。</w:t>
      </w:r>
    </w:p>
    <w:p>
      <w:pPr>
        <w:spacing w:line="360" w:lineRule="auto"/>
        <w:ind w:firstLine="547" w:firstLineChars="228"/>
        <w:rPr>
          <w:rFonts w:ascii="仿宋" w:hAnsi="仿宋" w:eastAsia="仿宋" w:cs="仿宋_GB2312"/>
          <w:sz w:val="24"/>
          <w:szCs w:val="24"/>
        </w:rPr>
      </w:pPr>
      <w:r>
        <w:rPr>
          <w:rFonts w:hint="eastAsia" w:ascii="仿宋" w:hAnsi="仿宋" w:eastAsia="仿宋" w:cs="仿宋_GB2312"/>
          <w:sz w:val="24"/>
          <w:szCs w:val="24"/>
        </w:rPr>
        <w:t>5、交货地点</w:t>
      </w:r>
    </w:p>
    <w:p>
      <w:pPr>
        <w:spacing w:line="360" w:lineRule="auto"/>
        <w:ind w:firstLine="547" w:firstLineChars="228"/>
        <w:rPr>
          <w:rFonts w:ascii="仿宋" w:hAnsi="仿宋" w:eastAsia="仿宋" w:cs="仿宋_GB2312"/>
          <w:sz w:val="24"/>
          <w:szCs w:val="24"/>
          <w:u w:val="single"/>
        </w:rPr>
      </w:pPr>
      <w:r>
        <w:rPr>
          <w:rFonts w:hint="eastAsia" w:ascii="仿宋" w:hAnsi="仿宋" w:eastAsia="仿宋" w:cs="宋体"/>
          <w:bCs/>
          <w:sz w:val="24"/>
          <w:szCs w:val="24"/>
          <w:u w:val="single"/>
        </w:rPr>
        <w:t>材料送至赤峰金通铜业铜冶炼工艺升级搬迁改造项目二期工程电解区域-柱锤冲扩成孔挤密桩</w:t>
      </w:r>
      <w:r>
        <w:rPr>
          <w:rFonts w:hint="eastAsia" w:ascii="仿宋" w:hAnsi="仿宋" w:eastAsia="仿宋" w:cs="仿宋_GB2312"/>
          <w:sz w:val="24"/>
          <w:szCs w:val="24"/>
          <w:u w:val="single"/>
        </w:rPr>
        <w:t>。</w:t>
      </w:r>
    </w:p>
    <w:p>
      <w:pPr>
        <w:spacing w:line="360" w:lineRule="auto"/>
        <w:ind w:firstLine="480" w:firstLineChars="200"/>
        <w:jc w:val="left"/>
        <w:rPr>
          <w:rFonts w:ascii="仿宋" w:hAnsi="仿宋" w:eastAsia="仿宋" w:cs="仿宋_GB2312"/>
          <w:sz w:val="24"/>
          <w:szCs w:val="24"/>
          <w:u w:val="single"/>
        </w:rPr>
      </w:pPr>
      <w:r>
        <w:rPr>
          <w:rFonts w:hint="eastAsia" w:ascii="仿宋" w:hAnsi="仿宋" w:eastAsia="仿宋" w:cs="仿宋_GB2312"/>
          <w:color w:val="000000" w:themeColor="text1"/>
          <w:sz w:val="24"/>
          <w:szCs w:val="24"/>
          <w14:textFill>
            <w14:solidFill>
              <w14:schemeClr w14:val="tx1"/>
            </w14:solidFill>
          </w14:textFill>
        </w:rPr>
        <w:t>6、</w:t>
      </w:r>
      <w:r>
        <w:rPr>
          <w:rFonts w:hint="eastAsia" w:ascii="仿宋" w:hAnsi="仿宋" w:eastAsia="仿宋" w:cs="仿宋_GB2312"/>
          <w:color w:val="000000" w:themeColor="text1"/>
          <w:sz w:val="24"/>
          <w:szCs w:val="24"/>
          <w:u w:val="single"/>
          <w14:textFill>
            <w14:solidFill>
              <w14:schemeClr w14:val="tx1"/>
            </w14:solidFill>
          </w14:textFill>
        </w:rPr>
        <w:t>本次招标的材料由中标人负责运输至指定地点。</w:t>
      </w:r>
      <w:r>
        <w:rPr>
          <w:rFonts w:hint="eastAsia" w:ascii="宋体" w:hAnsi="宋体" w:eastAsia="仿宋"/>
          <w:bCs/>
          <w:sz w:val="24"/>
          <w:szCs w:val="24"/>
          <w:u w:val="single"/>
        </w:rPr>
        <w:t>需签订“安全环境管理协议”在</w:t>
      </w:r>
      <w:r>
        <w:rPr>
          <w:rFonts w:hint="eastAsia" w:ascii="仿宋" w:hAnsi="仿宋" w:eastAsia="仿宋" w:cs="仿宋_GB2312"/>
          <w:sz w:val="24"/>
          <w:szCs w:val="24"/>
          <w:u w:val="single"/>
        </w:rPr>
        <w:t>运输过程中未按相关安全、环保等要求所导致的一切安全，环保事故由中标人承担责任。</w:t>
      </w:r>
    </w:p>
    <w:p>
      <w:pPr>
        <w:spacing w:line="360" w:lineRule="auto"/>
        <w:ind w:firstLine="547" w:firstLineChars="228"/>
        <w:rPr>
          <w:rFonts w:ascii="仿宋" w:hAnsi="仿宋" w:eastAsia="仿宋" w:cs="仿宋"/>
          <w:sz w:val="24"/>
          <w:szCs w:val="24"/>
        </w:rPr>
      </w:pPr>
      <w:r>
        <w:rPr>
          <w:rFonts w:hint="eastAsia" w:ascii="仿宋" w:hAnsi="仿宋" w:eastAsia="仿宋" w:cs="仿宋_GB2312"/>
          <w:sz w:val="24"/>
          <w:szCs w:val="24"/>
        </w:rPr>
        <w:t>7、供</w:t>
      </w:r>
      <w:r>
        <w:rPr>
          <w:rFonts w:hint="eastAsia" w:ascii="仿宋" w:hAnsi="仿宋" w:eastAsia="仿宋" w:cs="仿宋"/>
          <w:sz w:val="24"/>
          <w:szCs w:val="24"/>
        </w:rPr>
        <w:t>货时间、数量验收确认方式</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u w:val="single"/>
        </w:rPr>
        <w:t>招标人每批次需用混凝土时,必须提前一天用书面订单、微信、传真或电话通知中标人，日所需混凝土总量超过500</w:t>
      </w:r>
      <w:r>
        <w:rPr>
          <w:rFonts w:hint="eastAsia" w:ascii="仿宋" w:hAnsi="仿宋" w:eastAsia="仿宋" w:cs="仿宋"/>
          <w:kern w:val="0"/>
          <w:sz w:val="24"/>
          <w:szCs w:val="24"/>
          <w:u w:val="single"/>
        </w:rPr>
        <w:t>m³</w:t>
      </w:r>
      <w:r>
        <w:rPr>
          <w:rFonts w:hint="eastAsia" w:ascii="仿宋" w:hAnsi="仿宋" w:eastAsia="仿宋" w:cs="仿宋"/>
          <w:sz w:val="24"/>
          <w:szCs w:val="24"/>
          <w:u w:val="single"/>
        </w:rPr>
        <w:t>时,须提前二天通知中标人，</w:t>
      </w:r>
      <w:r>
        <w:rPr>
          <w:rFonts w:hint="eastAsia" w:ascii="仿宋" w:hAnsi="仿宋" w:eastAsia="仿宋" w:cs="仿宋"/>
          <w:color w:val="000000" w:themeColor="text1"/>
          <w:sz w:val="24"/>
          <w:szCs w:val="24"/>
          <w:u w:val="single"/>
          <w14:textFill>
            <w14:solidFill>
              <w14:schemeClr w14:val="tx1"/>
            </w14:solidFill>
          </w14:textFill>
        </w:rPr>
        <w:t>中标人应根据招标人的通知要求，及时安排生产和发货，并应保证混凝土运输的连续性。如遇特殊原因，预计无法按照招标人要求供货时，必须在招标人供货通知发出后2小时内通知招标人，在征得招标人同意后可暂停供货。如未征得招标人同意，即视为延期交货。每延期交货半天，按照延误情况的轻重，对中标人处以2000-5000元的罚款，累计计算。招标人发现中标人供货数量不足或提供不合格产品，均视同延期交货。对发生两次延期交货的，招标人有权自行安排其他供应商供货，中标人不得以任何理由阻拦或变相阻拦。因以上原因给招标人造成的质量问题、工期延误、差价等情况（包括但不限于以上情况），同时，包括外协和分包误工费、业主及监理等有关部门对招标人的罚款等（包括但不限于以上情况）的所有损失均由中标人承担。延期超过7天的，招标人有权单方面解除合同。</w:t>
      </w:r>
      <w:r>
        <w:rPr>
          <w:rFonts w:hint="eastAsia" w:ascii="仿宋" w:hAnsi="仿宋" w:eastAsia="仿宋" w:cs="仿宋"/>
          <w:sz w:val="24"/>
          <w:szCs w:val="24"/>
          <w:u w:val="single"/>
        </w:rPr>
        <w:t>每批次实际需用量多于或少于预订数量的，招标人应在本批次混凝土浇筑结束前2小时通知中标人。中标人在收到招标人通知后，应及时调整发货数量，以免造成双方损失。如招标人实际用量多于预订数量，又未及时通知中标人，中标人不承担因此无法保证预拌混凝土运输连续性所导致的一切后果。招标人按送货方单进行验收，并有权随时抽查,如抽查结果在负差3％以内的，属允许负差;如抽查结果在负差3%以上的，则当日所供所有混凝土按抽查最大负差百分比扣除结算</w:t>
      </w:r>
      <w:r>
        <w:rPr>
          <w:rFonts w:hint="eastAsia" w:ascii="仿宋" w:hAnsi="仿宋" w:eastAsia="仿宋" w:cs="仿宋"/>
          <w:color w:val="000000" w:themeColor="text1"/>
          <w:sz w:val="24"/>
          <w:szCs w:val="24"/>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w:t>
      </w:r>
      <w:r>
        <w:rPr>
          <w:rFonts w:hint="eastAsia" w:ascii="仿宋" w:hAnsi="仿宋" w:eastAsia="仿宋" w:cs="仿宋"/>
          <w:sz w:val="24"/>
          <w:szCs w:val="24"/>
          <w:u w:val="single"/>
        </w:rPr>
        <w:t>招标人保留对已浇铸完工混凝土构件方量进行复核的权利，如偏差大于5%，双方需进行复核。如确定为中标人责任，则扣除超出部分的方量。</w:t>
      </w:r>
      <w:r>
        <w:rPr>
          <w:rFonts w:hint="eastAsia" w:ascii="仿宋" w:hAnsi="仿宋" w:eastAsia="仿宋" w:cs="仿宋"/>
          <w:color w:val="000000" w:themeColor="text1"/>
          <w:sz w:val="24"/>
          <w:szCs w:val="24"/>
          <w:u w:val="single"/>
          <w14:textFill>
            <w14:solidFill>
              <w14:schemeClr w14:val="tx1"/>
            </w14:solidFill>
          </w14:textFill>
        </w:rPr>
        <w:t>对施工浇筑过程中混凝士的跑模、涨模、尾车中所要混凝土数量不准所造成</w:t>
      </w:r>
      <w:r>
        <w:rPr>
          <w:rFonts w:hint="eastAsia" w:ascii="仿宋" w:hAnsi="仿宋" w:eastAsia="仿宋" w:cs="仿宋"/>
          <w:sz w:val="24"/>
          <w:szCs w:val="24"/>
          <w:u w:val="single"/>
        </w:rPr>
        <w:t>的损失应由招标人承担。招标人在《订货单》中需写明工程名称、浇筑时间、浇筑部位、混凝土强度等级、坍落度要求、数量及其</w:t>
      </w:r>
      <w:r>
        <w:rPr>
          <w:rFonts w:hint="eastAsia" w:ascii="仿宋" w:hAnsi="仿宋" w:eastAsia="仿宋" w:cs="仿宋"/>
          <w:color w:val="000000" w:themeColor="text1"/>
          <w:sz w:val="24"/>
          <w:szCs w:val="24"/>
          <w:u w:val="single"/>
          <w14:textFill>
            <w14:solidFill>
              <w14:schemeClr w14:val="tx1"/>
            </w14:solidFill>
          </w14:textFill>
        </w:rPr>
        <w:t>它特殊技术要求,以便中标人及时备料安排生产和安排运输设备。</w:t>
      </w:r>
    </w:p>
    <w:p>
      <w:pPr>
        <w:spacing w:line="360" w:lineRule="auto"/>
        <w:ind w:firstLine="484" w:firstLineChars="202"/>
        <w:rPr>
          <w:rFonts w:ascii="仿宋" w:hAnsi="仿宋" w:eastAsia="仿宋" w:cs="仿宋_GB2312"/>
          <w:sz w:val="24"/>
          <w:szCs w:val="24"/>
        </w:rPr>
      </w:pPr>
      <w:r>
        <w:rPr>
          <w:rFonts w:hint="eastAsia" w:ascii="仿宋" w:hAnsi="仿宋" w:eastAsia="仿宋" w:cs="仿宋"/>
          <w:sz w:val="24"/>
          <w:szCs w:val="24"/>
        </w:rPr>
        <w:t>8、供货时间为</w:t>
      </w:r>
      <w:r>
        <w:rPr>
          <w:rFonts w:hint="eastAsia" w:ascii="仿宋" w:hAnsi="仿宋" w:eastAsia="仿宋" w:cs="仿宋"/>
          <w:sz w:val="24"/>
          <w:szCs w:val="24"/>
          <w:highlight w:val="none"/>
          <w:u w:val="single"/>
        </w:rPr>
        <w:t>2023年10月12至2023年12月31日</w:t>
      </w:r>
      <w:r>
        <w:rPr>
          <w:rFonts w:hint="eastAsia" w:ascii="仿宋" w:hAnsi="仿宋" w:eastAsia="仿宋" w:cs="仿宋"/>
          <w:sz w:val="24"/>
          <w:szCs w:val="24"/>
        </w:rPr>
        <w:t>（供货时间参考需方与业主签订的工程施工合同，实际</w:t>
      </w:r>
      <w:r>
        <w:rPr>
          <w:rFonts w:hint="eastAsia" w:ascii="仿宋" w:hAnsi="仿宋" w:eastAsia="仿宋" w:cs="仿宋_GB2312"/>
          <w:sz w:val="24"/>
          <w:szCs w:val="24"/>
        </w:rPr>
        <w:t>供货时间可能稍有偏差，以实际需求为准），具体到货时间以需方要求为准。</w:t>
      </w:r>
    </w:p>
    <w:p>
      <w:pPr>
        <w:spacing w:line="360" w:lineRule="auto"/>
        <w:ind w:firstLine="487" w:firstLineChars="202"/>
        <w:rPr>
          <w:rFonts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sz w:val="28"/>
          <w:szCs w:val="28"/>
        </w:rPr>
        <w:t>九、评标及中标履约要求</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1、评标由审计监察室随机临时确定评委并组建的评标委员会负责。</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2、评标原则：评标活动遵循公平、公正、科学和择优的原则。</w:t>
      </w:r>
    </w:p>
    <w:p>
      <w:pPr>
        <w:spacing w:line="360" w:lineRule="auto"/>
        <w:ind w:firstLine="480" w:firstLineChars="200"/>
        <w:rPr>
          <w:rFonts w:ascii="仿宋" w:hAnsi="仿宋" w:eastAsia="仿宋" w:cs="仿宋_GB2312"/>
          <w:sz w:val="24"/>
          <w:szCs w:val="24"/>
          <w:highlight w:val="yellow"/>
          <w:u w:val="single"/>
        </w:rPr>
      </w:pPr>
      <w:r>
        <w:rPr>
          <w:rFonts w:hint="eastAsia" w:ascii="仿宋" w:hAnsi="仿宋" w:eastAsia="仿宋" w:cs="仿宋_GB2312"/>
          <w:sz w:val="24"/>
          <w:szCs w:val="24"/>
        </w:rPr>
        <w:t>3、评标：</w:t>
      </w:r>
      <w:r>
        <w:rPr>
          <w:rFonts w:hint="eastAsia" w:ascii="仿宋" w:hAnsi="仿宋" w:eastAsia="仿宋" w:cs="仿宋_GB2312"/>
          <w:sz w:val="24"/>
          <w:szCs w:val="24"/>
          <w:u w:val="single"/>
        </w:rPr>
        <w:t>本次评标以价格为评标依据，采取“合理低价法”评标。即以经评委会审核，剔除偏离市场行情较大的恶意报价后的报价进行排序，确定预中标单位。</w:t>
      </w: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4、中标候选人推荐：</w:t>
      </w:r>
      <w:r>
        <w:rPr>
          <w:rFonts w:hint="eastAsia" w:ascii="仿宋" w:hAnsi="仿宋" w:eastAsia="仿宋" w:cs="仿宋_GB2312"/>
          <w:sz w:val="24"/>
          <w:szCs w:val="24"/>
          <w:u w:val="single"/>
        </w:rPr>
        <w:t>评标委员会依据评标结果，推荐一名中标候选人。</w:t>
      </w:r>
      <w:r>
        <w:rPr>
          <w:rFonts w:hint="eastAsia" w:ascii="仿宋" w:hAnsi="仿宋" w:eastAsia="仿宋" w:cs="仿宋_GB2312"/>
          <w:color w:val="000000" w:themeColor="text1"/>
          <w:sz w:val="24"/>
          <w:szCs w:val="24"/>
          <w:u w:val="single"/>
          <w14:textFill>
            <w14:solidFill>
              <w14:schemeClr w14:val="tx1"/>
            </w14:solidFill>
          </w14:textFill>
        </w:rPr>
        <w:t>需方将对中标候选人进行现场实地考察，最终确定中标单位。如有</w:t>
      </w:r>
      <w:r>
        <w:rPr>
          <w:rFonts w:hint="eastAsia" w:ascii="仿宋" w:hAnsi="仿宋" w:eastAsia="仿宋" w:cs="仿宋_GB2312"/>
          <w:sz w:val="24"/>
          <w:szCs w:val="24"/>
          <w:u w:val="single"/>
        </w:rPr>
        <w:t>两家相同最低价报价人则由评标委员会依据评标结果推荐两家为中标候选人，需方将对中标候选人进行现场实地考察，同时进行二次议价。需方将综合中标候选人的报价、实地考察情况以及二次议价的结果，最终确定中标单位。</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5、中标通知：招标人以书面形式向中标人发出中标通知书。</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ind w:firstLine="1928" w:firstLineChars="800"/>
        <w:rPr>
          <w:rFonts w:ascii="仿宋" w:hAnsi="仿宋" w:eastAsia="仿宋" w:cs="仿宋_GB2312"/>
          <w:b/>
          <w:sz w:val="24"/>
          <w:szCs w:val="24"/>
        </w:rPr>
      </w:pPr>
    </w:p>
    <w:p>
      <w:pPr>
        <w:spacing w:line="360" w:lineRule="auto"/>
        <w:ind w:firstLine="1928" w:firstLineChars="800"/>
        <w:rPr>
          <w:rFonts w:ascii="仿宋" w:hAnsi="仿宋" w:eastAsia="仿宋" w:cs="仿宋_GB2312"/>
          <w:b/>
          <w:sz w:val="24"/>
          <w:szCs w:val="24"/>
        </w:rPr>
      </w:pPr>
    </w:p>
    <w:p>
      <w:pPr>
        <w:spacing w:line="360" w:lineRule="auto"/>
        <w:jc w:val="center"/>
        <w:rPr>
          <w:rFonts w:ascii="仿宋" w:hAnsi="仿宋" w:eastAsia="仿宋" w:cs="仿宋_GB2312"/>
          <w:b/>
          <w:sz w:val="28"/>
          <w:szCs w:val="28"/>
        </w:rPr>
      </w:pPr>
      <w:r>
        <w:rPr>
          <w:rFonts w:hint="eastAsia" w:ascii="仿宋" w:hAnsi="仿宋" w:eastAsia="仿宋" w:cs="仿宋_GB2312"/>
          <w:b/>
          <w:sz w:val="28"/>
          <w:szCs w:val="28"/>
        </w:rPr>
        <w:t>十、纪律和监督</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b/>
          <w:sz w:val="24"/>
          <w:szCs w:val="24"/>
        </w:rPr>
      </w:pPr>
      <w:r>
        <w:rPr>
          <w:rFonts w:hint="eastAsia" w:ascii="仿宋" w:hAnsi="仿宋" w:eastAsia="仿宋" w:cs="仿宋_GB2312"/>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szCs w:val="24"/>
          <w:u w:val="single"/>
        </w:rPr>
        <w:t>一经确认将取消其今后参加我公司招标的资格，列入供应商黑名单。</w:t>
      </w:r>
    </w:p>
    <w:p>
      <w:pPr>
        <w:spacing w:line="360" w:lineRule="auto"/>
        <w:rPr>
          <w:rFonts w:ascii="仿宋" w:hAnsi="仿宋" w:eastAsia="仿宋" w:cs="仿宋_GB2312"/>
          <w:b/>
          <w:sz w:val="24"/>
          <w:szCs w:val="24"/>
        </w:rPr>
      </w:pPr>
    </w:p>
    <w:p>
      <w:pPr>
        <w:spacing w:line="360" w:lineRule="auto"/>
        <w:ind w:firstLine="1446" w:firstLineChars="600"/>
        <w:rPr>
          <w:rFonts w:ascii="仿宋" w:hAnsi="仿宋" w:eastAsia="仿宋" w:cs="仿宋_GB2312"/>
          <w:b/>
          <w:sz w:val="24"/>
          <w:szCs w:val="24"/>
        </w:rPr>
      </w:pPr>
    </w:p>
    <w:p>
      <w:pPr>
        <w:spacing w:line="360" w:lineRule="auto"/>
        <w:ind w:firstLine="1446" w:firstLineChars="600"/>
        <w:rPr>
          <w:rFonts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十一、法定代表人授权书</w:t>
      </w:r>
    </w:p>
    <w:p>
      <w:pPr>
        <w:pStyle w:val="19"/>
        <w:spacing w:line="360" w:lineRule="auto"/>
        <w:rPr>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本授权书声明：我</w:t>
      </w:r>
      <w:r>
        <w:rPr>
          <w:rFonts w:hint="eastAsia" w:ascii="仿宋" w:hAnsi="仿宋" w:eastAsia="仿宋" w:cs="仿宋_GB2312"/>
          <w:sz w:val="24"/>
          <w:szCs w:val="24"/>
          <w:u w:val="single"/>
        </w:rPr>
        <w:t>（姓名）</w:t>
      </w:r>
      <w:r>
        <w:rPr>
          <w:rFonts w:hint="eastAsia" w:ascii="仿宋" w:hAnsi="仿宋" w:eastAsia="仿宋" w:cs="仿宋_GB2312"/>
          <w:sz w:val="24"/>
          <w:szCs w:val="24"/>
        </w:rPr>
        <w:t>系</w:t>
      </w:r>
      <w:r>
        <w:rPr>
          <w:rFonts w:hint="eastAsia" w:ascii="仿宋" w:hAnsi="仿宋" w:eastAsia="仿宋" w:cs="仿宋_GB2312"/>
          <w:sz w:val="24"/>
          <w:szCs w:val="24"/>
          <w:u w:val="single"/>
        </w:rPr>
        <w:t>（单位名称）</w:t>
      </w:r>
      <w:r>
        <w:rPr>
          <w:rFonts w:hint="eastAsia" w:ascii="仿宋" w:hAnsi="仿宋" w:eastAsia="仿宋" w:cs="仿宋_GB2312"/>
          <w:sz w:val="24"/>
          <w:szCs w:val="24"/>
        </w:rPr>
        <w:t>的法定代表人，现授权委托</w:t>
      </w:r>
      <w:r>
        <w:rPr>
          <w:rFonts w:hint="eastAsia" w:ascii="仿宋" w:hAnsi="仿宋" w:eastAsia="仿宋" w:cs="仿宋_GB2312"/>
          <w:sz w:val="24"/>
          <w:szCs w:val="24"/>
          <w:u w:val="single"/>
        </w:rPr>
        <w:t>（单位名称）（被授权委托人姓名 ）</w:t>
      </w:r>
      <w:r>
        <w:rPr>
          <w:rFonts w:hint="eastAsia" w:ascii="仿宋" w:hAnsi="仿宋" w:eastAsia="仿宋" w:cs="仿宋_GB2312"/>
          <w:sz w:val="24"/>
          <w:szCs w:val="24"/>
        </w:rPr>
        <w:t>为本公司合理代表人，就</w:t>
      </w:r>
      <w:r>
        <w:rPr>
          <w:rFonts w:hint="eastAsia" w:ascii="仿宋" w:hAnsi="仿宋" w:eastAsia="仿宋" w:cs="仿宋_GB2312"/>
          <w:sz w:val="24"/>
          <w:szCs w:val="24"/>
          <w:u w:val="single"/>
        </w:rPr>
        <w:t>（招标编号）</w:t>
      </w:r>
      <w:r>
        <w:rPr>
          <w:rFonts w:hint="eastAsia" w:ascii="仿宋" w:hAnsi="仿宋" w:eastAsia="仿宋" w:cs="仿宋_GB2312"/>
          <w:sz w:val="24"/>
          <w:szCs w:val="24"/>
        </w:rPr>
        <w:t>的</w:t>
      </w:r>
      <w:r>
        <w:rPr>
          <w:rFonts w:hint="eastAsia" w:ascii="仿宋" w:hAnsi="仿宋" w:eastAsia="仿宋" w:cs="仿宋_GB2312"/>
          <w:sz w:val="24"/>
          <w:szCs w:val="24"/>
          <w:u w:val="single"/>
        </w:rPr>
        <w:t>（招标产品）</w:t>
      </w:r>
      <w:r>
        <w:rPr>
          <w:rFonts w:hint="eastAsia" w:ascii="仿宋" w:hAnsi="仿宋" w:eastAsia="仿宋" w:cs="仿宋_GB2312"/>
          <w:sz w:val="24"/>
          <w:szCs w:val="24"/>
        </w:rPr>
        <w:t xml:space="preserve">投标，以本公司名义处理一切与之有关的事务。 </w:t>
      </w:r>
    </w:p>
    <w:p>
      <w:pPr>
        <w:spacing w:before="156" w:beforeLines="50" w:after="156" w:afterLines="50" w:line="360" w:lineRule="auto"/>
        <w:ind w:firstLine="480" w:firstLineChars="200"/>
        <w:rPr>
          <w:rFonts w:ascii="宋体"/>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 xml:space="preserve">本授权书于______年___月___日签字生效， 特此声明。 </w:t>
      </w:r>
    </w:p>
    <w:p>
      <w:pPr>
        <w:spacing w:before="156" w:beforeLines="50" w:after="156" w:afterLines="50" w:line="360" w:lineRule="auto"/>
        <w:ind w:firstLine="480" w:firstLineChars="200"/>
        <w:rPr>
          <w:rFonts w:ascii="宋体"/>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代理人情况：</w:t>
      </w:r>
    </w:p>
    <w:p>
      <w:pPr>
        <w:spacing w:before="156" w:beforeLines="50" w:after="156" w:afterLines="50" w:line="360" w:lineRule="auto"/>
        <w:ind w:firstLine="480" w:firstLineChars="200"/>
        <w:rPr>
          <w:rFonts w:ascii="宋体"/>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姓名：__________________   职务/职称：____________________</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地址：__________________   邮编：_________________________</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电话：__________________   传真：_________________________</w:t>
      </w:r>
    </w:p>
    <w:p>
      <w:pPr>
        <w:spacing w:line="360" w:lineRule="auto"/>
        <w:ind w:firstLine="480" w:firstLineChars="200"/>
        <w:rPr>
          <w:rFonts w:ascii="仿宋" w:hAnsi="仿宋" w:eastAsia="仿宋" w:cs="仿宋_GB2312"/>
          <w:sz w:val="24"/>
          <w:szCs w:val="24"/>
        </w:rPr>
      </w:pPr>
    </w:p>
    <w:p>
      <w:pPr>
        <w:spacing w:before="156" w:beforeLines="50" w:after="156" w:afterLines="50" w:line="360" w:lineRule="auto"/>
        <w:ind w:firstLine="4080" w:firstLineChars="1700"/>
        <w:rPr>
          <w:rFonts w:ascii="仿宋" w:hAnsi="仿宋" w:eastAsia="仿宋"/>
          <w:sz w:val="24"/>
          <w:szCs w:val="24"/>
        </w:rPr>
      </w:pPr>
      <w:r>
        <w:rPr>
          <w:rFonts w:hint="eastAsia" w:ascii="仿宋" w:hAnsi="仿宋" w:eastAsia="仿宋"/>
          <w:sz w:val="24"/>
          <w:szCs w:val="24"/>
        </w:rPr>
        <w:t>法定代表人签字：_______________</w:t>
      </w:r>
      <w:r>
        <w:rPr>
          <w:rFonts w:ascii="仿宋" w:hAnsi="仿宋" w:eastAsia="仿宋"/>
          <w:sz w:val="24"/>
          <w:szCs w:val="24"/>
        </w:rPr>
        <w:t xml:space="preserve"> </w:t>
      </w:r>
    </w:p>
    <w:p>
      <w:pPr>
        <w:spacing w:before="156" w:beforeLines="50" w:after="156" w:afterLines="50" w:line="360" w:lineRule="auto"/>
        <w:ind w:firstLine="4080" w:firstLineChars="1700"/>
        <w:rPr>
          <w:rFonts w:ascii="仿宋" w:hAnsi="仿宋" w:eastAsia="仿宋"/>
          <w:sz w:val="24"/>
          <w:szCs w:val="24"/>
        </w:rPr>
      </w:pPr>
      <w:r>
        <w:rPr>
          <w:rFonts w:hint="eastAsia" w:ascii="仿宋" w:hAnsi="仿宋" w:eastAsia="仿宋"/>
          <w:sz w:val="24"/>
          <w:szCs w:val="24"/>
        </w:rPr>
        <w:t>单位盖章：_____________________</w:t>
      </w:r>
    </w:p>
    <w:p>
      <w:pPr>
        <w:spacing w:before="156" w:beforeLines="50" w:after="156" w:afterLines="50" w:line="360" w:lineRule="auto"/>
        <w:rPr>
          <w:rFonts w:ascii="仿宋" w:hAnsi="仿宋" w:eastAsia="仿宋"/>
          <w:sz w:val="24"/>
          <w:szCs w:val="24"/>
        </w:rPr>
      </w:pPr>
      <w:r>
        <w:rPr>
          <w:rFonts w:hint="eastAsia" w:ascii="仿宋" w:hAnsi="仿宋" w:eastAsia="仿宋"/>
          <w:sz w:val="24"/>
          <w:szCs w:val="24"/>
        </w:rPr>
        <w:t xml:space="preserve"> </w:t>
      </w:r>
    </w:p>
    <w:p>
      <w:pPr>
        <w:spacing w:line="360" w:lineRule="auto"/>
        <w:jc w:val="right"/>
        <w:rPr>
          <w:rFonts w:ascii="仿宋" w:hAnsi="仿宋" w:eastAsia="仿宋" w:cs="仿宋_GB2312"/>
          <w:b/>
          <w:sz w:val="24"/>
          <w:szCs w:val="24"/>
          <w:highlight w:val="cyan"/>
        </w:rPr>
      </w:pPr>
      <w:r>
        <w:rPr>
          <w:rFonts w:hint="eastAsia" w:ascii="仿宋" w:hAnsi="仿宋" w:eastAsia="仿宋" w:cs="仿宋_GB2312"/>
          <w:sz w:val="24"/>
          <w:szCs w:val="24"/>
        </w:rPr>
        <w:t>年   月   日</w:t>
      </w: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ascii="仿宋" w:hAnsi="仿宋" w:eastAsia="仿宋" w:cs="仿宋_GB2312"/>
          <w:b/>
          <w:bCs/>
          <w:sz w:val="24"/>
          <w:szCs w:val="24"/>
        </w:rPr>
      </w:pPr>
      <w:bookmarkStart w:id="0" w:name="_GoBack"/>
      <w:bookmarkEnd w:id="0"/>
      <w:r>
        <w:rPr>
          <w:rFonts w:hint="eastAsia" w:ascii="仿宋" w:hAnsi="仿宋" w:eastAsia="仿宋" w:cs="仿宋_GB2312"/>
          <w:b/>
          <w:sz w:val="24"/>
          <w:szCs w:val="24"/>
        </w:rPr>
        <w:t>十二、投标廉洁</w:t>
      </w:r>
      <w:r>
        <w:rPr>
          <w:rFonts w:hint="eastAsia" w:ascii="仿宋" w:hAnsi="仿宋" w:eastAsia="仿宋" w:cs="仿宋_GB2312"/>
          <w:b/>
          <w:bCs/>
          <w:sz w:val="24"/>
          <w:szCs w:val="24"/>
        </w:rPr>
        <w:t>承诺书</w:t>
      </w: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b/>
          <w:bCs/>
          <w:sz w:val="24"/>
          <w:szCs w:val="24"/>
        </w:rPr>
      </w:pPr>
      <w:r>
        <w:rPr>
          <w:rFonts w:hint="eastAsia" w:ascii="仿宋" w:hAnsi="仿宋" w:eastAsia="仿宋" w:cs="仿宋_GB2312"/>
          <w:sz w:val="24"/>
          <w:szCs w:val="24"/>
        </w:rPr>
        <w:t>我单位于</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年</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月</w:t>
      </w:r>
      <w:r>
        <w:rPr>
          <w:rFonts w:hint="eastAsia" w:ascii="仿宋" w:hAnsi="仿宋" w:eastAsia="仿宋" w:cs="仿宋_GB2312"/>
          <w:sz w:val="24"/>
          <w:szCs w:val="24"/>
          <w:u w:val="single"/>
        </w:rPr>
        <w:t xml:space="preserve">   </w:t>
      </w:r>
      <w:r>
        <w:rPr>
          <w:rFonts w:hint="eastAsia" w:ascii="仿宋" w:hAnsi="仿宋" w:eastAsia="仿宋" w:cs="仿宋_GB2312"/>
          <w:sz w:val="24"/>
          <w:szCs w:val="24"/>
        </w:rPr>
        <w:t>日参与</w:t>
      </w:r>
      <w:r>
        <w:rPr>
          <w:rFonts w:hint="eastAsia" w:ascii="仿宋" w:hAnsi="仿宋" w:eastAsia="仿宋" w:cs="仿宋_GB2312"/>
          <w:sz w:val="24"/>
          <w:szCs w:val="24"/>
          <w:u w:val="single"/>
        </w:rPr>
        <w:t>（招标编号）</w:t>
      </w:r>
      <w:r>
        <w:rPr>
          <w:rFonts w:hint="eastAsia" w:ascii="仿宋" w:hAnsi="仿宋" w:eastAsia="仿宋" w:cs="仿宋_GB2312"/>
          <w:sz w:val="24"/>
          <w:szCs w:val="24"/>
        </w:rPr>
        <w:t>的</w:t>
      </w:r>
      <w:r>
        <w:rPr>
          <w:rFonts w:hint="eastAsia" w:ascii="仿宋" w:hAnsi="仿宋" w:eastAsia="仿宋" w:cs="仿宋_GB2312"/>
          <w:sz w:val="24"/>
          <w:szCs w:val="24"/>
          <w:u w:val="single"/>
        </w:rPr>
        <w:t>（招标产品）</w:t>
      </w:r>
      <w:r>
        <w:rPr>
          <w:rFonts w:hint="eastAsia" w:ascii="仿宋" w:hAnsi="仿宋" w:eastAsia="仿宋" w:cs="仿宋_GB2312"/>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承诺不相互串通投标或者与招标人串通投标；</w:t>
      </w:r>
    </w:p>
    <w:p>
      <w:pPr>
        <w:widowControl/>
        <w:numPr>
          <w:ilvl w:val="0"/>
          <w:numId w:val="4"/>
        </w:num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不向招标人或者评标委员会成员行贿谋取中标；</w:t>
      </w:r>
    </w:p>
    <w:p>
      <w:pPr>
        <w:widowControl/>
        <w:numPr>
          <w:ilvl w:val="0"/>
          <w:numId w:val="4"/>
        </w:num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不以他人名义投标或者以其他方式弄虚作假骗取中标；</w:t>
      </w:r>
    </w:p>
    <w:p>
      <w:pPr>
        <w:widowControl/>
        <w:numPr>
          <w:ilvl w:val="0"/>
          <w:numId w:val="4"/>
        </w:num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承诺不向招标人及有关人员提供任何形式的财、物及请吃消费；</w:t>
      </w:r>
    </w:p>
    <w:p>
      <w:pPr>
        <w:widowControl/>
        <w:numPr>
          <w:ilvl w:val="0"/>
          <w:numId w:val="4"/>
        </w:numPr>
        <w:spacing w:line="360" w:lineRule="auto"/>
        <w:ind w:firstLine="480" w:firstLineChars="200"/>
        <w:jc w:val="left"/>
        <w:rPr>
          <w:rFonts w:ascii="仿宋" w:hAnsi="仿宋" w:eastAsia="仿宋" w:cs="仿宋_GB2312"/>
          <w:color w:val="000000"/>
          <w:sz w:val="24"/>
          <w:szCs w:val="24"/>
        </w:rPr>
      </w:pPr>
      <w:r>
        <w:rPr>
          <w:rFonts w:hint="eastAsia" w:ascii="仿宋" w:hAnsi="仿宋" w:eastAsia="仿宋" w:cs="仿宋_GB2312"/>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szCs w:val="24"/>
          <w:u w:val="single"/>
        </w:rPr>
      </w:pPr>
    </w:p>
    <w:p>
      <w:pPr>
        <w:spacing w:line="360" w:lineRule="auto"/>
        <w:ind w:firstLine="4560" w:firstLineChars="1900"/>
        <w:rPr>
          <w:rFonts w:ascii="仿宋" w:hAnsi="仿宋" w:eastAsia="仿宋" w:cs="仿宋_GB2312"/>
          <w:sz w:val="24"/>
          <w:szCs w:val="24"/>
        </w:rPr>
      </w:pPr>
    </w:p>
    <w:p>
      <w:pPr>
        <w:spacing w:line="360" w:lineRule="auto"/>
        <w:ind w:firstLine="4560" w:firstLineChars="1900"/>
        <w:rPr>
          <w:rFonts w:ascii="仿宋" w:hAnsi="仿宋" w:eastAsia="仿宋" w:cs="仿宋_GB2312"/>
          <w:sz w:val="24"/>
          <w:szCs w:val="24"/>
          <w:u w:val="single"/>
        </w:rPr>
      </w:pPr>
      <w:r>
        <w:rPr>
          <w:rFonts w:hint="eastAsia" w:ascii="仿宋" w:hAnsi="仿宋" w:eastAsia="仿宋" w:cs="仿宋_GB2312"/>
          <w:sz w:val="24"/>
          <w:szCs w:val="24"/>
        </w:rPr>
        <w:t>承诺方签字:_________</w:t>
      </w:r>
      <w:r>
        <w:rPr>
          <w:rFonts w:hint="eastAsia" w:ascii="仿宋" w:hAnsi="仿宋" w:eastAsia="仿宋" w:cs="仿宋_GB2312"/>
          <w:sz w:val="24"/>
          <w:szCs w:val="24"/>
          <w:u w:val="single"/>
        </w:rPr>
        <w:t xml:space="preserve"> </w:t>
      </w:r>
    </w:p>
    <w:p>
      <w:pPr>
        <w:spacing w:line="360" w:lineRule="auto"/>
        <w:ind w:firstLine="4560" w:firstLineChars="1900"/>
        <w:rPr>
          <w:rFonts w:ascii="仿宋" w:hAnsi="仿宋" w:eastAsia="仿宋" w:cs="仿宋_GB2312"/>
          <w:sz w:val="24"/>
          <w:szCs w:val="24"/>
        </w:rPr>
      </w:pPr>
      <w:r>
        <w:rPr>
          <w:rFonts w:hint="eastAsia" w:ascii="仿宋" w:hAnsi="仿宋" w:eastAsia="仿宋" w:cs="仿宋_GB2312"/>
          <w:sz w:val="24"/>
          <w:szCs w:val="24"/>
        </w:rPr>
        <w:t xml:space="preserve">单位盖章 ：                    </w:t>
      </w:r>
    </w:p>
    <w:p>
      <w:pPr>
        <w:spacing w:line="360" w:lineRule="auto"/>
        <w:ind w:firstLine="1920" w:firstLineChars="800"/>
        <w:rPr>
          <w:rFonts w:ascii="仿宋" w:hAnsi="仿宋" w:eastAsia="仿宋" w:cs="仿宋_GB2312"/>
          <w:sz w:val="24"/>
          <w:szCs w:val="24"/>
        </w:rPr>
      </w:pPr>
      <w:r>
        <w:rPr>
          <w:rFonts w:hint="eastAsia" w:ascii="仿宋" w:hAnsi="仿宋" w:eastAsia="仿宋" w:cs="仿宋_GB2312"/>
          <w:sz w:val="24"/>
          <w:szCs w:val="24"/>
        </w:rPr>
        <w:t xml:space="preserve">                       日期：</w:t>
      </w:r>
    </w:p>
    <w:p>
      <w:pPr>
        <w:spacing w:line="360" w:lineRule="auto"/>
        <w:rPr>
          <w:rFonts w:ascii="仿宋_GB2312" w:hAnsi="仿宋_GB2312" w:eastAsia="仿宋_GB2312" w:cs="仿宋_GB2312"/>
          <w:sz w:val="24"/>
          <w:szCs w:val="24"/>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1417" w:right="1417" w:bottom="1417" w:left="1417"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十三、报价单</w:t>
      </w:r>
    </w:p>
    <w:p>
      <w:pPr>
        <w:rPr>
          <w:rFonts w:ascii="仿宋" w:hAnsi="仿宋" w:eastAsia="仿宋"/>
          <w:b/>
          <w:sz w:val="28"/>
          <w:szCs w:val="28"/>
        </w:rPr>
      </w:pPr>
      <w:r>
        <w:rPr>
          <w:rFonts w:hint="eastAsia" w:ascii="仿宋" w:hAnsi="仿宋" w:eastAsia="仿宋"/>
          <w:b/>
          <w:sz w:val="28"/>
          <w:szCs w:val="28"/>
        </w:rPr>
        <w:t>报价单（TGJA-WZ-2023146）</w:t>
      </w:r>
    </w:p>
    <w:tbl>
      <w:tblPr>
        <w:tblStyle w:val="46"/>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975"/>
        <w:gridCol w:w="2492"/>
        <w:gridCol w:w="2400"/>
        <w:gridCol w:w="3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 w:hAnsi="仿宋" w:eastAsia="仿宋"/>
                <w:sz w:val="24"/>
              </w:rPr>
            </w:pPr>
            <w:r>
              <w:rPr>
                <w:rFonts w:hint="eastAsia" w:ascii="仿宋" w:hAnsi="仿宋" w:eastAsia="仿宋"/>
                <w:sz w:val="24"/>
              </w:rPr>
              <w:t>序号</w:t>
            </w:r>
          </w:p>
        </w:tc>
        <w:tc>
          <w:tcPr>
            <w:tcW w:w="1365" w:type="dxa"/>
            <w:vAlign w:val="center"/>
          </w:tcPr>
          <w:p>
            <w:pPr>
              <w:jc w:val="center"/>
              <w:rPr>
                <w:rFonts w:ascii="仿宋" w:hAnsi="仿宋" w:eastAsia="仿宋"/>
                <w:sz w:val="24"/>
              </w:rPr>
            </w:pPr>
            <w:r>
              <w:rPr>
                <w:rFonts w:hint="eastAsia" w:ascii="仿宋" w:hAnsi="仿宋" w:eastAsia="仿宋"/>
                <w:sz w:val="24"/>
              </w:rPr>
              <w:t>物料名称</w:t>
            </w:r>
          </w:p>
        </w:tc>
        <w:tc>
          <w:tcPr>
            <w:tcW w:w="1515" w:type="dxa"/>
            <w:vAlign w:val="center"/>
          </w:tcPr>
          <w:p>
            <w:pPr>
              <w:jc w:val="center"/>
              <w:rPr>
                <w:rFonts w:ascii="仿宋" w:hAnsi="仿宋" w:eastAsia="仿宋"/>
                <w:sz w:val="24"/>
              </w:rPr>
            </w:pPr>
            <w:r>
              <w:rPr>
                <w:rFonts w:hint="eastAsia" w:ascii="仿宋" w:hAnsi="仿宋" w:eastAsia="仿宋"/>
                <w:sz w:val="24"/>
              </w:rPr>
              <w:t>型号规格</w:t>
            </w:r>
          </w:p>
        </w:tc>
        <w:tc>
          <w:tcPr>
            <w:tcW w:w="1860" w:type="dxa"/>
            <w:vAlign w:val="center"/>
          </w:tcPr>
          <w:p>
            <w:pPr>
              <w:jc w:val="center"/>
              <w:rPr>
                <w:rFonts w:ascii="仿宋" w:hAnsi="仿宋" w:eastAsia="仿宋"/>
                <w:sz w:val="24"/>
              </w:rPr>
            </w:pPr>
            <w:r>
              <w:rPr>
                <w:rFonts w:hint="eastAsia" w:ascii="仿宋" w:hAnsi="仿宋" w:eastAsia="仿宋"/>
                <w:sz w:val="24"/>
              </w:rPr>
              <w:t>验收标准</w:t>
            </w:r>
          </w:p>
        </w:tc>
        <w:tc>
          <w:tcPr>
            <w:tcW w:w="720" w:type="dxa"/>
            <w:vAlign w:val="center"/>
          </w:tcPr>
          <w:p>
            <w:pPr>
              <w:jc w:val="center"/>
              <w:rPr>
                <w:rFonts w:ascii="仿宋" w:hAnsi="仿宋" w:eastAsia="仿宋"/>
                <w:sz w:val="24"/>
              </w:rPr>
            </w:pPr>
            <w:r>
              <w:rPr>
                <w:rFonts w:hint="eastAsia" w:ascii="仿宋" w:hAnsi="仿宋" w:eastAsia="仿宋"/>
                <w:sz w:val="24"/>
              </w:rPr>
              <w:t>单位</w:t>
            </w:r>
          </w:p>
        </w:tc>
        <w:tc>
          <w:tcPr>
            <w:tcW w:w="975" w:type="dxa"/>
            <w:vAlign w:val="center"/>
          </w:tcPr>
          <w:p>
            <w:pPr>
              <w:jc w:val="center"/>
              <w:rPr>
                <w:rFonts w:ascii="仿宋" w:hAnsi="仿宋" w:eastAsia="仿宋"/>
                <w:sz w:val="24"/>
              </w:rPr>
            </w:pPr>
            <w:r>
              <w:rPr>
                <w:rFonts w:hint="eastAsia" w:ascii="仿宋" w:hAnsi="仿宋" w:eastAsia="仿宋"/>
                <w:sz w:val="24"/>
              </w:rPr>
              <w:t>数量</w:t>
            </w:r>
          </w:p>
        </w:tc>
        <w:tc>
          <w:tcPr>
            <w:tcW w:w="2492" w:type="dxa"/>
            <w:vAlign w:val="center"/>
          </w:tcPr>
          <w:p>
            <w:pPr>
              <w:jc w:val="center"/>
              <w:rPr>
                <w:rFonts w:ascii="仿宋" w:hAnsi="仿宋" w:eastAsia="仿宋"/>
                <w:b w:val="0"/>
                <w:bCs w:val="0"/>
                <w:color w:val="auto"/>
                <w:sz w:val="24"/>
              </w:rPr>
            </w:pPr>
            <w:r>
              <w:rPr>
                <w:rFonts w:hint="eastAsia" w:ascii="仿宋" w:hAnsi="仿宋" w:eastAsia="仿宋"/>
                <w:b w:val="0"/>
                <w:bCs w:val="0"/>
                <w:color w:val="auto"/>
                <w:sz w:val="24"/>
              </w:rPr>
              <w:t>报价按混凝土标号报价</w:t>
            </w:r>
            <w:r>
              <w:rPr>
                <w:rFonts w:hint="eastAsia" w:ascii="仿宋" w:hAnsi="仿宋" w:eastAsia="仿宋"/>
                <w:color w:val="FF0000"/>
                <w:sz w:val="24"/>
              </w:rPr>
              <w:t>＊</w:t>
            </w:r>
          </w:p>
        </w:tc>
        <w:tc>
          <w:tcPr>
            <w:tcW w:w="2400" w:type="dxa"/>
            <w:vAlign w:val="center"/>
          </w:tcPr>
          <w:p>
            <w:pPr>
              <w:jc w:val="center"/>
              <w:rPr>
                <w:rFonts w:ascii="仿宋" w:hAnsi="仿宋" w:eastAsia="仿宋"/>
                <w:b w:val="0"/>
                <w:bCs w:val="0"/>
                <w:color w:val="auto"/>
                <w:sz w:val="24"/>
              </w:rPr>
            </w:pPr>
            <w:r>
              <w:rPr>
                <w:rFonts w:hint="eastAsia" w:ascii="仿宋" w:hAnsi="仿宋" w:eastAsia="仿宋"/>
                <w:b w:val="0"/>
                <w:bCs w:val="0"/>
                <w:color w:val="auto"/>
                <w:sz w:val="24"/>
              </w:rPr>
              <w:t>税率</w:t>
            </w:r>
            <w:r>
              <w:rPr>
                <w:rFonts w:hint="eastAsia" w:ascii="仿宋" w:hAnsi="仿宋" w:eastAsia="仿宋"/>
                <w:color w:val="FF0000"/>
                <w:sz w:val="24"/>
              </w:rPr>
              <w:t>＊</w:t>
            </w:r>
          </w:p>
        </w:tc>
        <w:tc>
          <w:tcPr>
            <w:tcW w:w="3409" w:type="dxa"/>
            <w:vAlign w:val="center"/>
          </w:tcPr>
          <w:p>
            <w:pPr>
              <w:jc w:val="center"/>
              <w:rPr>
                <w:rFonts w:hint="eastAsia" w:ascii="仿宋" w:hAnsi="仿宋" w:eastAsia="仿宋"/>
                <w:b w:val="0"/>
                <w:bCs w:val="0"/>
                <w:color w:val="auto"/>
                <w:sz w:val="24"/>
                <w:lang w:val="en-US" w:eastAsia="zh-CN"/>
              </w:rPr>
            </w:pPr>
            <w:r>
              <w:rPr>
                <w:rFonts w:hint="eastAsia" w:ascii="仿宋" w:hAnsi="仿宋" w:eastAsia="仿宋"/>
                <w:b w:val="0"/>
                <w:bCs w:val="0"/>
                <w:color w:val="auto"/>
                <w:sz w:val="24"/>
                <w:lang w:val="en-US" w:eastAsia="zh-CN"/>
              </w:rPr>
              <w:t>是否为增值税专用发票</w:t>
            </w:r>
            <w:r>
              <w:rPr>
                <w:rFonts w:hint="eastAsia" w:ascii="仿宋" w:hAnsi="仿宋" w:eastAsia="仿宋"/>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399" w:type="dxa"/>
            <w:vAlign w:val="center"/>
          </w:tcPr>
          <w:p>
            <w:pPr>
              <w:jc w:val="center"/>
              <w:rPr>
                <w:rFonts w:ascii="仿宋" w:hAnsi="仿宋" w:eastAsia="仿宋"/>
                <w:sz w:val="24"/>
              </w:rPr>
            </w:pPr>
            <w:r>
              <w:rPr>
                <w:rFonts w:hint="eastAsia" w:ascii="仿宋" w:hAnsi="仿宋" w:eastAsia="仿宋"/>
                <w:sz w:val="24"/>
              </w:rPr>
              <w:t>1</w:t>
            </w:r>
          </w:p>
        </w:tc>
        <w:tc>
          <w:tcPr>
            <w:tcW w:w="1365" w:type="dxa"/>
            <w:vAlign w:val="center"/>
          </w:tcPr>
          <w:p>
            <w:pPr>
              <w:widowControl/>
              <w:jc w:val="center"/>
              <w:textAlignment w:val="center"/>
              <w:rPr>
                <w:rFonts w:ascii="仿宋" w:hAnsi="仿宋" w:eastAsia="仿宋"/>
                <w:sz w:val="24"/>
              </w:rPr>
            </w:pPr>
            <w:r>
              <w:rPr>
                <w:rFonts w:hint="eastAsia" w:ascii="仿宋" w:hAnsi="仿宋" w:eastAsia="仿宋" w:cs="宋体"/>
                <w:kern w:val="0"/>
                <w:sz w:val="20"/>
                <w:szCs w:val="20"/>
              </w:rPr>
              <w:t>干硬性混凝土</w:t>
            </w:r>
          </w:p>
        </w:tc>
        <w:tc>
          <w:tcPr>
            <w:tcW w:w="1515" w:type="dxa"/>
            <w:vAlign w:val="center"/>
          </w:tcPr>
          <w:p>
            <w:pPr>
              <w:widowControl/>
              <w:jc w:val="center"/>
              <w:textAlignment w:val="center"/>
              <w:rPr>
                <w:rFonts w:ascii="仿宋" w:hAnsi="仿宋" w:eastAsia="仿宋" w:cs="宋体"/>
                <w:kern w:val="0"/>
                <w:sz w:val="20"/>
                <w:szCs w:val="20"/>
              </w:rPr>
            </w:pPr>
            <w:r>
              <w:rPr>
                <w:rFonts w:hint="eastAsia" w:ascii="仿宋" w:hAnsi="仿宋" w:eastAsia="仿宋" w:cs="宋体"/>
                <w:kern w:val="0"/>
                <w:sz w:val="20"/>
                <w:szCs w:val="20"/>
              </w:rPr>
              <w:t>C20</w:t>
            </w:r>
          </w:p>
        </w:tc>
        <w:tc>
          <w:tcPr>
            <w:tcW w:w="1860" w:type="dxa"/>
            <w:vAlign w:val="center"/>
          </w:tcPr>
          <w:p>
            <w:pPr>
              <w:widowControl/>
              <w:jc w:val="center"/>
              <w:textAlignment w:val="center"/>
              <w:rPr>
                <w:rFonts w:ascii="仿宋" w:hAnsi="仿宋" w:eastAsia="仿宋" w:cs="宋体"/>
                <w:kern w:val="0"/>
                <w:sz w:val="20"/>
                <w:szCs w:val="20"/>
              </w:rPr>
            </w:pPr>
            <w:r>
              <w:rPr>
                <w:rFonts w:hint="eastAsia" w:ascii="仿宋" w:hAnsi="仿宋" w:eastAsia="仿宋" w:cs="宋体"/>
                <w:kern w:val="0"/>
                <w:sz w:val="20"/>
                <w:szCs w:val="20"/>
              </w:rPr>
              <w:t>GB/T14902-2012</w:t>
            </w:r>
          </w:p>
        </w:tc>
        <w:tc>
          <w:tcPr>
            <w:tcW w:w="720" w:type="dxa"/>
            <w:vAlign w:val="center"/>
          </w:tcPr>
          <w:p>
            <w:pPr>
              <w:widowControl/>
              <w:jc w:val="center"/>
              <w:textAlignment w:val="center"/>
              <w:rPr>
                <w:rFonts w:ascii="仿宋" w:hAnsi="仿宋" w:eastAsia="仿宋" w:cs="宋体"/>
                <w:kern w:val="0"/>
                <w:sz w:val="20"/>
                <w:szCs w:val="20"/>
              </w:rPr>
            </w:pPr>
            <w:r>
              <w:rPr>
                <w:rFonts w:hint="eastAsia" w:ascii="仿宋" w:hAnsi="仿宋" w:eastAsia="仿宋" w:cs="宋体"/>
                <w:kern w:val="0"/>
                <w:sz w:val="20"/>
                <w:szCs w:val="20"/>
              </w:rPr>
              <w:t>m</w:t>
            </w:r>
            <w:r>
              <w:rPr>
                <w:rFonts w:eastAsia="仿宋" w:cs="Calibri"/>
                <w:kern w:val="0"/>
                <w:sz w:val="20"/>
                <w:szCs w:val="20"/>
              </w:rPr>
              <w:t>³</w:t>
            </w:r>
          </w:p>
        </w:tc>
        <w:tc>
          <w:tcPr>
            <w:tcW w:w="975" w:type="dxa"/>
            <w:vAlign w:val="center"/>
          </w:tcPr>
          <w:p>
            <w:pPr>
              <w:widowControl/>
              <w:jc w:val="center"/>
              <w:textAlignment w:val="center"/>
              <w:rPr>
                <w:rFonts w:ascii="仿宋" w:hAnsi="仿宋" w:eastAsia="仿宋" w:cs="宋体"/>
                <w:kern w:val="0"/>
                <w:sz w:val="20"/>
                <w:szCs w:val="20"/>
              </w:rPr>
            </w:pPr>
            <w:r>
              <w:rPr>
                <w:rFonts w:hint="eastAsia" w:ascii="仿宋" w:hAnsi="仿宋" w:eastAsia="仿宋" w:cs="宋体"/>
                <w:kern w:val="0"/>
                <w:sz w:val="20"/>
                <w:szCs w:val="20"/>
              </w:rPr>
              <w:t>4300</w:t>
            </w:r>
          </w:p>
        </w:tc>
        <w:tc>
          <w:tcPr>
            <w:tcW w:w="2492" w:type="dxa"/>
            <w:vAlign w:val="center"/>
          </w:tcPr>
          <w:p>
            <w:pPr>
              <w:widowControl/>
              <w:jc w:val="right"/>
              <w:textAlignment w:val="center"/>
              <w:rPr>
                <w:rFonts w:hint="default" w:ascii="仿宋" w:hAnsi="仿宋" w:eastAsia="仿宋" w:cs="宋体"/>
                <w:kern w:val="0"/>
                <w:sz w:val="20"/>
                <w:szCs w:val="20"/>
                <w:lang w:val="en-US" w:eastAsia="zh-CN"/>
              </w:rPr>
            </w:pPr>
            <w:r>
              <w:rPr>
                <w:rFonts w:hint="eastAsia" w:ascii="仿宋" w:hAnsi="仿宋" w:eastAsia="仿宋" w:cs="宋体"/>
                <w:kern w:val="0"/>
                <w:sz w:val="20"/>
                <w:szCs w:val="20"/>
                <w:lang w:val="en-US" w:eastAsia="zh-CN"/>
              </w:rPr>
              <w:t>元/立方</w:t>
            </w:r>
          </w:p>
        </w:tc>
        <w:tc>
          <w:tcPr>
            <w:tcW w:w="2400" w:type="dxa"/>
            <w:vAlign w:val="center"/>
          </w:tcPr>
          <w:p>
            <w:pPr>
              <w:widowControl/>
              <w:jc w:val="center"/>
              <w:textAlignment w:val="center"/>
              <w:rPr>
                <w:rFonts w:ascii="仿宋" w:hAnsi="仿宋" w:eastAsia="仿宋" w:cs="宋体"/>
                <w:kern w:val="0"/>
                <w:sz w:val="20"/>
                <w:szCs w:val="20"/>
              </w:rPr>
            </w:pPr>
          </w:p>
        </w:tc>
        <w:tc>
          <w:tcPr>
            <w:tcW w:w="3409" w:type="dxa"/>
            <w:vAlign w:val="center"/>
          </w:tcPr>
          <w:p>
            <w:pPr>
              <w:widowControl/>
              <w:jc w:val="center"/>
              <w:textAlignment w:val="center"/>
              <w:rPr>
                <w:rFonts w:ascii="仿宋" w:hAnsi="仿宋" w:eastAsia="仿宋"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仿宋" w:hAnsi="仿宋" w:eastAsia="仿宋"/>
                <w:sz w:val="24"/>
              </w:rPr>
            </w:pPr>
            <w:r>
              <w:rPr>
                <w:rFonts w:hint="eastAsia" w:ascii="仿宋" w:hAnsi="仿宋" w:eastAsia="仿宋"/>
                <w:sz w:val="24"/>
              </w:rPr>
              <w:t>2</w:t>
            </w:r>
          </w:p>
        </w:tc>
        <w:tc>
          <w:tcPr>
            <w:tcW w:w="1365" w:type="dxa"/>
            <w:vAlign w:val="center"/>
          </w:tcPr>
          <w:p>
            <w:pPr>
              <w:jc w:val="center"/>
              <w:rPr>
                <w:rFonts w:ascii="仿宋" w:hAnsi="仿宋" w:eastAsia="仿宋"/>
                <w:sz w:val="24"/>
              </w:rPr>
            </w:pPr>
            <w:r>
              <w:rPr>
                <w:rFonts w:hint="eastAsia" w:ascii="仿宋" w:hAnsi="仿宋" w:eastAsia="仿宋"/>
                <w:sz w:val="24"/>
              </w:rPr>
              <w:t>合计</w:t>
            </w:r>
          </w:p>
        </w:tc>
        <w:tc>
          <w:tcPr>
            <w:tcW w:w="1515" w:type="dxa"/>
            <w:vAlign w:val="center"/>
          </w:tcPr>
          <w:p>
            <w:pPr>
              <w:jc w:val="center"/>
              <w:rPr>
                <w:rFonts w:ascii="仿宋" w:hAnsi="仿宋" w:eastAsia="仿宋"/>
                <w:sz w:val="24"/>
              </w:rPr>
            </w:pPr>
          </w:p>
        </w:tc>
        <w:tc>
          <w:tcPr>
            <w:tcW w:w="1860" w:type="dxa"/>
            <w:vAlign w:val="center"/>
          </w:tcPr>
          <w:p>
            <w:pPr>
              <w:jc w:val="center"/>
              <w:rPr>
                <w:rFonts w:ascii="仿宋" w:hAnsi="仿宋" w:eastAsia="仿宋"/>
                <w:sz w:val="24"/>
              </w:rPr>
            </w:pPr>
          </w:p>
        </w:tc>
        <w:tc>
          <w:tcPr>
            <w:tcW w:w="720" w:type="dxa"/>
            <w:vAlign w:val="center"/>
          </w:tcPr>
          <w:p>
            <w:pPr>
              <w:jc w:val="center"/>
              <w:rPr>
                <w:rFonts w:ascii="仿宋" w:hAnsi="仿宋" w:eastAsia="仿宋"/>
                <w:sz w:val="24"/>
              </w:rPr>
            </w:pPr>
          </w:p>
        </w:tc>
        <w:tc>
          <w:tcPr>
            <w:tcW w:w="975" w:type="dxa"/>
            <w:vAlign w:val="center"/>
          </w:tcPr>
          <w:p>
            <w:pPr>
              <w:jc w:val="center"/>
              <w:rPr>
                <w:rFonts w:ascii="仿宋" w:hAnsi="仿宋" w:eastAsia="仿宋"/>
                <w:sz w:val="24"/>
              </w:rPr>
            </w:pPr>
          </w:p>
        </w:tc>
        <w:tc>
          <w:tcPr>
            <w:tcW w:w="2492" w:type="dxa"/>
            <w:vAlign w:val="center"/>
          </w:tcPr>
          <w:p>
            <w:pPr>
              <w:jc w:val="center"/>
              <w:rPr>
                <w:rFonts w:ascii="仿宋" w:hAnsi="仿宋" w:eastAsia="仿宋"/>
                <w:sz w:val="24"/>
              </w:rPr>
            </w:pPr>
          </w:p>
        </w:tc>
        <w:tc>
          <w:tcPr>
            <w:tcW w:w="2400" w:type="dxa"/>
            <w:vAlign w:val="center"/>
          </w:tcPr>
          <w:p>
            <w:pPr>
              <w:jc w:val="center"/>
              <w:rPr>
                <w:rFonts w:ascii="仿宋" w:hAnsi="仿宋" w:eastAsia="仿宋"/>
                <w:sz w:val="24"/>
              </w:rPr>
            </w:pPr>
          </w:p>
        </w:tc>
        <w:tc>
          <w:tcPr>
            <w:tcW w:w="3409"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 xml:space="preserve">＊ </w:t>
            </w:r>
            <w:r>
              <w:rPr>
                <w:rFonts w:hint="eastAsia" w:ascii="仿宋" w:hAnsi="仿宋" w:eastAsia="仿宋"/>
                <w:sz w:val="24"/>
              </w:rPr>
              <w:t>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2、税率栏填写时要具体明确税率及是否为增值税专用发票。</w:t>
            </w:r>
          </w:p>
          <w:p>
            <w:pPr>
              <w:spacing w:line="400" w:lineRule="exact"/>
              <w:ind w:firstLine="720" w:firstLineChars="300"/>
              <w:rPr>
                <w:rFonts w:ascii="仿宋" w:hAnsi="仿宋" w:eastAsia="仿宋"/>
                <w:sz w:val="24"/>
              </w:rPr>
            </w:pPr>
            <w:r>
              <w:rPr>
                <w:rFonts w:hint="eastAsia" w:ascii="仿宋" w:hAnsi="仿宋" w:eastAsia="仿宋"/>
                <w:sz w:val="24"/>
              </w:rPr>
              <w:t>3、报价均为含税（税率必须注明）、含运费价，保留至小数点后两位。</w:t>
            </w:r>
          </w:p>
          <w:p>
            <w:pPr>
              <w:ind w:firstLine="720" w:firstLineChars="300"/>
              <w:rPr>
                <w:rFonts w:ascii="仿宋" w:hAnsi="仿宋" w:eastAsia="仿宋"/>
                <w:sz w:val="24"/>
              </w:rPr>
            </w:pPr>
            <w:r>
              <w:rPr>
                <w:rFonts w:hint="eastAsia" w:ascii="仿宋" w:hAnsi="仿宋" w:eastAsia="仿宋"/>
                <w:sz w:val="24"/>
              </w:rPr>
              <w:t>4、本次招标量为本批次供应量，招标数量可能与实际需求量存在偏差。</w:t>
            </w:r>
          </w:p>
          <w:p>
            <w:pPr>
              <w:ind w:firstLine="960" w:firstLineChars="4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 w:hAnsi="仿宋" w:eastAsia="仿宋"/>
                <w:sz w:val="24"/>
              </w:rPr>
            </w:pPr>
            <w:r>
              <w:rPr>
                <w:rFonts w:hint="eastAsia" w:ascii="仿宋" w:hAnsi="仿宋" w:eastAsia="仿宋"/>
                <w:sz w:val="24"/>
              </w:rPr>
              <w:t>投标单位（公章）</w:t>
            </w:r>
          </w:p>
        </w:tc>
        <w:tc>
          <w:tcPr>
            <w:tcW w:w="4892" w:type="dxa"/>
            <w:gridSpan w:val="2"/>
            <w:vAlign w:val="center"/>
          </w:tcPr>
          <w:p>
            <w:pPr>
              <w:jc w:val="center"/>
              <w:rPr>
                <w:rFonts w:ascii="仿宋" w:hAnsi="仿宋" w:eastAsia="仿宋"/>
                <w:sz w:val="24"/>
              </w:rPr>
            </w:pPr>
            <w:r>
              <w:rPr>
                <w:rFonts w:hint="eastAsia" w:ascii="仿宋" w:hAnsi="仿宋" w:eastAsia="仿宋"/>
                <w:sz w:val="24"/>
              </w:rPr>
              <w:t>法定代表人或授权委托人</w:t>
            </w:r>
          </w:p>
        </w:tc>
        <w:tc>
          <w:tcPr>
            <w:tcW w:w="3409"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2492" w:type="dxa"/>
            <w:vMerge w:val="restart"/>
            <w:vAlign w:val="center"/>
          </w:tcPr>
          <w:p>
            <w:pPr>
              <w:jc w:val="center"/>
              <w:rPr>
                <w:rFonts w:ascii="仿宋" w:hAnsi="仿宋" w:eastAsia="仿宋"/>
                <w:sz w:val="24"/>
              </w:rPr>
            </w:pPr>
            <w:r>
              <w:rPr>
                <w:rFonts w:hint="eastAsia" w:ascii="仿宋" w:hAnsi="仿宋" w:eastAsia="仿宋"/>
                <w:sz w:val="24"/>
              </w:rPr>
              <w:t>联系方式</w:t>
            </w:r>
          </w:p>
        </w:tc>
        <w:tc>
          <w:tcPr>
            <w:tcW w:w="2400" w:type="dxa"/>
            <w:vAlign w:val="center"/>
          </w:tcPr>
          <w:p>
            <w:pPr>
              <w:jc w:val="center"/>
              <w:rPr>
                <w:rFonts w:ascii="仿宋" w:hAnsi="仿宋" w:eastAsia="仿宋"/>
                <w:sz w:val="24"/>
              </w:rPr>
            </w:pPr>
            <w:r>
              <w:rPr>
                <w:rFonts w:hint="eastAsia" w:ascii="仿宋" w:hAnsi="仿宋" w:eastAsia="仿宋"/>
                <w:sz w:val="24"/>
              </w:rPr>
              <w:t>电话</w:t>
            </w:r>
          </w:p>
        </w:tc>
        <w:tc>
          <w:tcPr>
            <w:tcW w:w="3409"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34" w:type="dxa"/>
            <w:gridSpan w:val="6"/>
            <w:vMerge w:val="continue"/>
            <w:vAlign w:val="center"/>
          </w:tcPr>
          <w:p>
            <w:pPr>
              <w:rPr>
                <w:rFonts w:ascii="仿宋_GB2312" w:eastAsia="仿宋_GB2312"/>
                <w:sz w:val="24"/>
              </w:rPr>
            </w:pPr>
          </w:p>
        </w:tc>
        <w:tc>
          <w:tcPr>
            <w:tcW w:w="2492" w:type="dxa"/>
            <w:vMerge w:val="continue"/>
            <w:vAlign w:val="center"/>
          </w:tcPr>
          <w:p>
            <w:pPr>
              <w:jc w:val="center"/>
              <w:rPr>
                <w:rFonts w:ascii="仿宋" w:hAnsi="仿宋" w:eastAsia="仿宋"/>
                <w:sz w:val="24"/>
              </w:rPr>
            </w:pPr>
          </w:p>
        </w:tc>
        <w:tc>
          <w:tcPr>
            <w:tcW w:w="2400" w:type="dxa"/>
            <w:vAlign w:val="center"/>
          </w:tcPr>
          <w:p>
            <w:pPr>
              <w:jc w:val="center"/>
              <w:rPr>
                <w:rFonts w:ascii="仿宋" w:hAnsi="仿宋" w:eastAsia="仿宋"/>
                <w:sz w:val="24"/>
              </w:rPr>
            </w:pPr>
            <w:r>
              <w:rPr>
                <w:rFonts w:hint="eastAsia" w:ascii="仿宋" w:hAnsi="仿宋" w:eastAsia="仿宋"/>
                <w:sz w:val="24"/>
              </w:rPr>
              <w:t>邮箱</w:t>
            </w:r>
          </w:p>
        </w:tc>
        <w:tc>
          <w:tcPr>
            <w:tcW w:w="3409" w:type="dxa"/>
            <w:vAlign w:val="center"/>
          </w:tcPr>
          <w:p>
            <w:pPr>
              <w:rPr>
                <w:rFonts w:ascii="仿宋" w:hAnsi="仿宋" w:eastAsia="仿宋"/>
                <w:sz w:val="24"/>
              </w:rPr>
            </w:pPr>
          </w:p>
        </w:tc>
      </w:tr>
    </w:tbl>
    <w:p>
      <w:pPr>
        <w:rPr>
          <w:rFonts w:ascii="仿宋" w:hAnsi="仿宋" w:eastAsia="仿宋" w:cs="仿宋_GB2312"/>
          <w:sz w:val="28"/>
          <w:szCs w:val="28"/>
          <w:u w:val="single"/>
        </w:rPr>
      </w:pP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w:t>
    </w:r>
    <w:r>
      <w:rPr>
        <w:rFonts w:hint="eastAsia"/>
        <w:u w:val="single"/>
        <w:lang w:val="en-US" w:eastAsia="zh-CN"/>
      </w:rPr>
      <w:t xml:space="preserve">  </w:t>
    </w:r>
    <w:r>
      <w:rPr>
        <w:rFonts w:hint="eastAsia"/>
        <w:u w:val="single"/>
      </w:rPr>
      <w:t xml:space="preserve">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A8F3C59"/>
    <w:multiLevelType w:val="singleLevel"/>
    <w:tmpl w:val="2A8F3C59"/>
    <w:lvl w:ilvl="0" w:tentative="0">
      <w:start w:val="6"/>
      <w:numFmt w:val="chineseCounting"/>
      <w:suff w:val="nothing"/>
      <w:lvlText w:val="%1、"/>
      <w:lvlJc w:val="left"/>
      <w:rPr>
        <w:rFonts w:hint="eastAsia"/>
      </w:rPr>
    </w:lvl>
  </w:abstractNum>
  <w:abstractNum w:abstractNumId="2">
    <w:nsid w:val="33C89D09"/>
    <w:multiLevelType w:val="singleLevel"/>
    <w:tmpl w:val="33C89D09"/>
    <w:lvl w:ilvl="0" w:tentative="0">
      <w:start w:val="7"/>
      <w:numFmt w:val="chineseCounting"/>
      <w:suff w:val="space"/>
      <w:lvlText w:val="%1、"/>
      <w:lvlJc w:val="left"/>
      <w:rPr>
        <w:rFonts w:hint="eastAsia"/>
      </w:rPr>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247"/>
    <w:rsid w:val="000F7870"/>
    <w:rsid w:val="000F7A31"/>
    <w:rsid w:val="00102C93"/>
    <w:rsid w:val="001041C2"/>
    <w:rsid w:val="0010728D"/>
    <w:rsid w:val="00111E7D"/>
    <w:rsid w:val="0011678D"/>
    <w:rsid w:val="00117D54"/>
    <w:rsid w:val="00117FD5"/>
    <w:rsid w:val="00120BEC"/>
    <w:rsid w:val="0012356E"/>
    <w:rsid w:val="00124A2E"/>
    <w:rsid w:val="001275C2"/>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5842"/>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8F6"/>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798"/>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47D9"/>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386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D6E17"/>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3CB"/>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6858"/>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18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6DF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5DA51F3"/>
    <w:rsid w:val="08C24B63"/>
    <w:rsid w:val="08D36AD2"/>
    <w:rsid w:val="09102B84"/>
    <w:rsid w:val="09CE2D27"/>
    <w:rsid w:val="0A5C7401"/>
    <w:rsid w:val="0B2B537E"/>
    <w:rsid w:val="0BD70A6C"/>
    <w:rsid w:val="0C6241B2"/>
    <w:rsid w:val="0D2B4E23"/>
    <w:rsid w:val="0E691F69"/>
    <w:rsid w:val="0E876D2F"/>
    <w:rsid w:val="0EC82FD7"/>
    <w:rsid w:val="0EEA79E8"/>
    <w:rsid w:val="0EF25E26"/>
    <w:rsid w:val="0F0E07DB"/>
    <w:rsid w:val="0F0F54D7"/>
    <w:rsid w:val="0F791AC7"/>
    <w:rsid w:val="10143EDA"/>
    <w:rsid w:val="10181623"/>
    <w:rsid w:val="10BD1543"/>
    <w:rsid w:val="11B31A31"/>
    <w:rsid w:val="11EB7260"/>
    <w:rsid w:val="120C1FB0"/>
    <w:rsid w:val="12A820AD"/>
    <w:rsid w:val="131A523B"/>
    <w:rsid w:val="17D86D23"/>
    <w:rsid w:val="18582D0F"/>
    <w:rsid w:val="18665B7E"/>
    <w:rsid w:val="18AF15FD"/>
    <w:rsid w:val="197A053B"/>
    <w:rsid w:val="19D977BD"/>
    <w:rsid w:val="1B59783C"/>
    <w:rsid w:val="1BB44FC0"/>
    <w:rsid w:val="1BBF797C"/>
    <w:rsid w:val="1DEE2CCA"/>
    <w:rsid w:val="1E021478"/>
    <w:rsid w:val="1E6F64AC"/>
    <w:rsid w:val="1F395F7C"/>
    <w:rsid w:val="1F762827"/>
    <w:rsid w:val="1FB3349A"/>
    <w:rsid w:val="2037683E"/>
    <w:rsid w:val="22235530"/>
    <w:rsid w:val="223E7710"/>
    <w:rsid w:val="23037269"/>
    <w:rsid w:val="23147676"/>
    <w:rsid w:val="241E0AF1"/>
    <w:rsid w:val="25590EC9"/>
    <w:rsid w:val="26A26CEB"/>
    <w:rsid w:val="299D4A4C"/>
    <w:rsid w:val="2A1902C2"/>
    <w:rsid w:val="2AB020F1"/>
    <w:rsid w:val="2B3838B3"/>
    <w:rsid w:val="2B7C43C1"/>
    <w:rsid w:val="2BE80223"/>
    <w:rsid w:val="2BF629AC"/>
    <w:rsid w:val="2C995D0F"/>
    <w:rsid w:val="2D3E7816"/>
    <w:rsid w:val="2E5604C6"/>
    <w:rsid w:val="2E8E540F"/>
    <w:rsid w:val="302E3043"/>
    <w:rsid w:val="30D974B7"/>
    <w:rsid w:val="333663C1"/>
    <w:rsid w:val="336F7BD6"/>
    <w:rsid w:val="343C1399"/>
    <w:rsid w:val="34634E47"/>
    <w:rsid w:val="346848DB"/>
    <w:rsid w:val="354F3A99"/>
    <w:rsid w:val="357B16F3"/>
    <w:rsid w:val="36050FAB"/>
    <w:rsid w:val="386029D7"/>
    <w:rsid w:val="38826B3B"/>
    <w:rsid w:val="3989643E"/>
    <w:rsid w:val="39BA7B75"/>
    <w:rsid w:val="39F503B5"/>
    <w:rsid w:val="3A1C63DD"/>
    <w:rsid w:val="3A3173ED"/>
    <w:rsid w:val="3A5A156F"/>
    <w:rsid w:val="3B076549"/>
    <w:rsid w:val="3C5B75D3"/>
    <w:rsid w:val="3C7823C8"/>
    <w:rsid w:val="3DBC2399"/>
    <w:rsid w:val="3DCC4487"/>
    <w:rsid w:val="3E474521"/>
    <w:rsid w:val="3EC46DF8"/>
    <w:rsid w:val="3EC82979"/>
    <w:rsid w:val="41B46B47"/>
    <w:rsid w:val="423A241C"/>
    <w:rsid w:val="424B79E0"/>
    <w:rsid w:val="4260760B"/>
    <w:rsid w:val="42B960AF"/>
    <w:rsid w:val="431D097D"/>
    <w:rsid w:val="434963F7"/>
    <w:rsid w:val="439F612A"/>
    <w:rsid w:val="441344E9"/>
    <w:rsid w:val="44460EA1"/>
    <w:rsid w:val="44842956"/>
    <w:rsid w:val="44B922E9"/>
    <w:rsid w:val="45843DE5"/>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7579C4"/>
    <w:rsid w:val="50D759E8"/>
    <w:rsid w:val="51335A69"/>
    <w:rsid w:val="51B50E5A"/>
    <w:rsid w:val="52041C28"/>
    <w:rsid w:val="554830C1"/>
    <w:rsid w:val="5585313B"/>
    <w:rsid w:val="563E7353"/>
    <w:rsid w:val="56B4262E"/>
    <w:rsid w:val="57626A41"/>
    <w:rsid w:val="576F2EA8"/>
    <w:rsid w:val="57EC1671"/>
    <w:rsid w:val="5807041D"/>
    <w:rsid w:val="58381C76"/>
    <w:rsid w:val="583F79D3"/>
    <w:rsid w:val="58691989"/>
    <w:rsid w:val="58F960F8"/>
    <w:rsid w:val="59241A66"/>
    <w:rsid w:val="599F0979"/>
    <w:rsid w:val="59FF0EBC"/>
    <w:rsid w:val="5B726C86"/>
    <w:rsid w:val="5BE9165E"/>
    <w:rsid w:val="5C1E1084"/>
    <w:rsid w:val="5D9408DF"/>
    <w:rsid w:val="5E60373E"/>
    <w:rsid w:val="5EDA5F53"/>
    <w:rsid w:val="5EE01EF7"/>
    <w:rsid w:val="5FF9616D"/>
    <w:rsid w:val="606D3897"/>
    <w:rsid w:val="60F035C2"/>
    <w:rsid w:val="631B786D"/>
    <w:rsid w:val="6333415D"/>
    <w:rsid w:val="63BE0649"/>
    <w:rsid w:val="63E45615"/>
    <w:rsid w:val="6543236C"/>
    <w:rsid w:val="656D5704"/>
    <w:rsid w:val="659A148F"/>
    <w:rsid w:val="67A41EF7"/>
    <w:rsid w:val="69AD4D95"/>
    <w:rsid w:val="69B54174"/>
    <w:rsid w:val="6A315ABB"/>
    <w:rsid w:val="6A660AE8"/>
    <w:rsid w:val="6A87598F"/>
    <w:rsid w:val="6C55155E"/>
    <w:rsid w:val="6F127F28"/>
    <w:rsid w:val="701F573C"/>
    <w:rsid w:val="703849D5"/>
    <w:rsid w:val="704E4D9F"/>
    <w:rsid w:val="711712EF"/>
    <w:rsid w:val="74044126"/>
    <w:rsid w:val="74B57A97"/>
    <w:rsid w:val="75352950"/>
    <w:rsid w:val="7541303A"/>
    <w:rsid w:val="77C81C4C"/>
    <w:rsid w:val="79136B09"/>
    <w:rsid w:val="793439F5"/>
    <w:rsid w:val="796E3D99"/>
    <w:rsid w:val="79ED6ADC"/>
    <w:rsid w:val="7B8D7C88"/>
    <w:rsid w:val="7C252C88"/>
    <w:rsid w:val="7F12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字符"/>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字符"/>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字符"/>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字符"/>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字符"/>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字符"/>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字符"/>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字符"/>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字符"/>
    <w:link w:val="9"/>
    <w:qFormat/>
    <w:uiPriority w:val="0"/>
    <w:rPr>
      <w:rFonts w:ascii="Arial" w:hAnsi="Arial" w:eastAsia="黑体"/>
      <w:sz w:val="24"/>
      <w:szCs w:val="24"/>
      <w:lang w:val="en-US" w:eastAsia="zh-CN" w:bidi="ar-SA"/>
    </w:rPr>
  </w:style>
  <w:style w:type="character" w:customStyle="1" w:styleId="90">
    <w:name w:val="正文文本 字符"/>
    <w:link w:val="18"/>
    <w:qFormat/>
    <w:uiPriority w:val="0"/>
    <w:rPr>
      <w:rFonts w:eastAsia="宋体"/>
      <w:kern w:val="2"/>
      <w:sz w:val="21"/>
      <w:szCs w:val="24"/>
      <w:lang w:val="en-US" w:eastAsia="zh-CN" w:bidi="ar-SA"/>
    </w:rPr>
  </w:style>
  <w:style w:type="character" w:customStyle="1" w:styleId="91">
    <w:name w:val="正文缩进 字符"/>
    <w:link w:val="12"/>
    <w:qFormat/>
    <w:uiPriority w:val="0"/>
    <w:rPr>
      <w:rFonts w:eastAsia="宋体"/>
      <w:kern w:val="2"/>
      <w:sz w:val="21"/>
      <w:szCs w:val="24"/>
      <w:lang w:val="en-US" w:eastAsia="zh-CN" w:bidi="ar-SA"/>
    </w:rPr>
  </w:style>
  <w:style w:type="character" w:customStyle="1" w:styleId="92">
    <w:name w:val="标题 5 字符"/>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字符"/>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字符"/>
    <w:link w:val="7"/>
    <w:qFormat/>
    <w:uiPriority w:val="0"/>
    <w:rPr>
      <w:rFonts w:ascii="Arial" w:hAnsi="Arial" w:eastAsia="黑体"/>
      <w:b/>
      <w:bCs/>
      <w:sz w:val="24"/>
      <w:szCs w:val="24"/>
      <w:lang w:val="en-US" w:eastAsia="zh-CN" w:bidi="ar-SA"/>
    </w:rPr>
  </w:style>
  <w:style w:type="character" w:customStyle="1" w:styleId="100">
    <w:name w:val="标题 3 字符"/>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字符"/>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14</Pages>
  <Words>5194</Words>
  <Characters>5628</Characters>
  <Lines>42</Lines>
  <Paragraphs>12</Paragraphs>
  <TotalTime>6</TotalTime>
  <ScaleCrop>false</ScaleCrop>
  <LinksUpToDate>false</LinksUpToDate>
  <CharactersWithSpaces>5724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微信用户</cp:lastModifiedBy>
  <cp:lastPrinted>2019-05-06T09:43:00Z</cp:lastPrinted>
  <dcterms:modified xsi:type="dcterms:W3CDTF">2023-10-10T01:00:53Z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A323FE99E03C49C09D39A04593C8876E_13</vt:lpwstr>
  </property>
</Properties>
</file>