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宋体" w:hAnsi="宋体" w:cs="宋体"/>
          <w:b/>
          <w:bCs/>
          <w:sz w:val="40"/>
          <w:szCs w:val="44"/>
          <w:u w:val="single"/>
        </w:rPr>
      </w:pPr>
    </w:p>
    <w:p>
      <w:pPr>
        <w:jc w:val="center"/>
        <w:rPr>
          <w:rFonts w:ascii="宋体" w:hAnsi="宋体" w:cs="宋体"/>
          <w:b/>
          <w:bCs/>
          <w:sz w:val="40"/>
          <w:szCs w:val="44"/>
          <w:u w:val="single"/>
        </w:rPr>
      </w:pPr>
      <w:r>
        <w:rPr>
          <w:rFonts w:hint="eastAsia" w:ascii="宋体" w:hAnsi="宋体" w:cs="宋体"/>
          <w:b/>
          <w:bCs/>
          <w:sz w:val="40"/>
          <w:szCs w:val="44"/>
          <w:u w:val="single"/>
        </w:rPr>
        <w:t>铜陵有色金属集团铜冠建筑安装股份有限公司</w:t>
      </w:r>
    </w:p>
    <w:p>
      <w:pPr>
        <w:jc w:val="center"/>
        <w:rPr>
          <w:rFonts w:ascii="仿宋_GB2312" w:hAnsi="仿宋_GB2312" w:cs="仿宋_GB2312"/>
          <w:b/>
          <w:bCs/>
          <w:color w:val="000000"/>
          <w:sz w:val="40"/>
          <w:szCs w:val="44"/>
          <w:u w:val="single"/>
        </w:rPr>
      </w:pPr>
      <w:r>
        <w:rPr>
          <w:rFonts w:hint="eastAsia" w:ascii="宋体" w:hAnsi="宋体" w:cs="宋体"/>
          <w:b/>
          <w:bCs/>
          <w:sz w:val="40"/>
          <w:szCs w:val="44"/>
          <w:u w:val="single"/>
        </w:rPr>
        <w:t>党建文化阵地建设广告牌</w:t>
      </w:r>
    </w:p>
    <w:p>
      <w:pPr>
        <w:spacing w:line="700" w:lineRule="exact"/>
        <w:jc w:val="center"/>
        <w:rPr>
          <w:rFonts w:ascii="仿宋" w:hAnsi="仿宋" w:eastAsia="仿宋"/>
          <w:sz w:val="48"/>
          <w:szCs w:val="48"/>
        </w:rPr>
      </w:pPr>
    </w:p>
    <w:p>
      <w:pPr>
        <w:spacing w:line="700" w:lineRule="exact"/>
        <w:jc w:val="center"/>
        <w:rPr>
          <w:rFonts w:ascii="仿宋" w:hAnsi="仿宋" w:eastAsia="仿宋"/>
          <w:sz w:val="44"/>
          <w:szCs w:val="44"/>
        </w:rPr>
      </w:pPr>
    </w:p>
    <w:p>
      <w:pPr>
        <w:tabs>
          <w:tab w:val="left" w:pos="7020"/>
        </w:tabs>
        <w:jc w:val="center"/>
        <w:rPr>
          <w:rFonts w:ascii="仿宋" w:hAnsi="仿宋" w:eastAsia="仿宋"/>
          <w:b/>
          <w:sz w:val="72"/>
          <w:szCs w:val="72"/>
        </w:rPr>
      </w:pPr>
      <w:r>
        <w:rPr>
          <w:rFonts w:hint="eastAsia" w:ascii="仿宋" w:hAnsi="仿宋" w:eastAsia="仿宋"/>
          <w:b/>
          <w:sz w:val="72"/>
          <w:szCs w:val="72"/>
        </w:rPr>
        <w:t>招标文件</w:t>
      </w:r>
    </w:p>
    <w:p>
      <w:pPr>
        <w:tabs>
          <w:tab w:val="left" w:pos="7020"/>
        </w:tabs>
        <w:jc w:val="center"/>
        <w:rPr>
          <w:rFonts w:ascii="仿宋" w:hAnsi="仿宋" w:eastAsia="仿宋"/>
          <w:b/>
          <w:sz w:val="52"/>
          <w:szCs w:val="52"/>
        </w:rPr>
      </w:pPr>
    </w:p>
    <w:p>
      <w:pPr>
        <w:spacing w:line="840" w:lineRule="auto"/>
        <w:rPr>
          <w:rFonts w:ascii="仿宋" w:hAnsi="仿宋" w:eastAsia="仿宋" w:cs="仿宋_GB2312"/>
          <w:b/>
          <w:bCs/>
          <w:sz w:val="32"/>
          <w:szCs w:val="32"/>
        </w:rPr>
      </w:pPr>
    </w:p>
    <w:p>
      <w:pPr>
        <w:spacing w:line="840" w:lineRule="auto"/>
        <w:rPr>
          <w:rFonts w:ascii="仿宋" w:hAnsi="仿宋" w:eastAsia="仿宋" w:cs="仿宋_GB2312"/>
          <w:b/>
          <w:bCs/>
          <w:sz w:val="32"/>
          <w:szCs w:val="32"/>
          <w:u w:val="single"/>
        </w:rPr>
      </w:pPr>
      <w:r>
        <w:rPr>
          <w:rFonts w:hint="eastAsia" w:ascii="仿宋" w:hAnsi="仿宋" w:eastAsia="仿宋" w:cs="仿宋_GB2312"/>
          <w:b/>
          <w:bCs/>
          <w:sz w:val="32"/>
          <w:szCs w:val="32"/>
        </w:rPr>
        <w:t>招标编号：</w:t>
      </w:r>
      <w:r>
        <w:rPr>
          <w:rFonts w:hint="eastAsia" w:ascii="仿宋" w:hAnsi="仿宋" w:eastAsia="仿宋" w:cs="仿宋_GB2312"/>
          <w:b/>
          <w:bCs/>
          <w:sz w:val="32"/>
          <w:szCs w:val="32"/>
          <w:u w:val="single"/>
        </w:rPr>
        <w:t>TGJA－</w:t>
      </w:r>
      <w:r>
        <w:rPr>
          <w:rFonts w:hint="eastAsia" w:ascii="仿宋" w:hAnsi="仿宋" w:eastAsia="仿宋" w:cs="仿宋_GB2312"/>
          <w:b/>
          <w:bCs/>
          <w:sz w:val="32"/>
          <w:szCs w:val="32"/>
          <w:highlight w:val="yellow"/>
          <w:u w:val="single"/>
        </w:rPr>
        <w:t>X</w:t>
      </w:r>
      <w:r>
        <w:rPr>
          <w:rFonts w:hint="default" w:ascii="仿宋" w:hAnsi="仿宋" w:eastAsia="仿宋" w:cs="仿宋_GB2312"/>
          <w:b/>
          <w:bCs/>
          <w:sz w:val="32"/>
          <w:szCs w:val="32"/>
          <w:highlight w:val="yellow"/>
          <w:u w:val="single"/>
        </w:rPr>
        <w:t>ZFW</w:t>
      </w:r>
      <w:r>
        <w:rPr>
          <w:rFonts w:hint="eastAsia" w:ascii="仿宋" w:hAnsi="仿宋" w:eastAsia="仿宋" w:cs="仿宋_GB2312"/>
          <w:b/>
          <w:bCs/>
          <w:sz w:val="32"/>
          <w:szCs w:val="32"/>
          <w:u w:val="single"/>
        </w:rPr>
        <w:t>－202302</w:t>
      </w:r>
    </w:p>
    <w:p>
      <w:pPr>
        <w:spacing w:line="840" w:lineRule="auto"/>
        <w:rPr>
          <w:rFonts w:ascii="仿宋" w:hAnsi="仿宋" w:eastAsia="仿宋" w:cs="仿宋_GB2312"/>
          <w:b/>
          <w:bCs/>
          <w:sz w:val="32"/>
          <w:szCs w:val="32"/>
          <w:u w:val="single"/>
        </w:rPr>
      </w:pPr>
      <w:r>
        <w:rPr>
          <w:rFonts w:hint="eastAsia" w:ascii="仿宋" w:hAnsi="仿宋" w:eastAsia="仿宋" w:cs="仿宋_GB2312"/>
          <w:b/>
          <w:bCs/>
          <w:sz w:val="32"/>
          <w:szCs w:val="32"/>
        </w:rPr>
        <w:t>招标内容：</w:t>
      </w:r>
      <w:r>
        <w:rPr>
          <w:rFonts w:hint="eastAsia" w:ascii="仿宋" w:hAnsi="仿宋" w:eastAsia="仿宋" w:cs="仿宋_GB2312"/>
          <w:b/>
          <w:bCs/>
          <w:sz w:val="32"/>
          <w:szCs w:val="32"/>
          <w:u w:val="single"/>
        </w:rPr>
        <w:t xml:space="preserve">党建文化阵地建设广告牌     </w:t>
      </w:r>
    </w:p>
    <w:p>
      <w:pPr>
        <w:spacing w:line="840" w:lineRule="auto"/>
        <w:rPr>
          <w:rFonts w:ascii="仿宋" w:hAnsi="仿宋" w:eastAsia="仿宋" w:cs="仿宋_GB2312"/>
          <w:b/>
          <w:bCs/>
          <w:sz w:val="32"/>
          <w:szCs w:val="32"/>
          <w:u w:val="single"/>
        </w:rPr>
      </w:pPr>
      <w:r>
        <w:rPr>
          <w:rFonts w:hint="eastAsia" w:ascii="仿宋" w:hAnsi="仿宋" w:eastAsia="仿宋" w:cs="仿宋_GB2312"/>
          <w:b/>
          <w:bCs/>
          <w:sz w:val="32"/>
          <w:szCs w:val="32"/>
        </w:rPr>
        <w:t>招标人：</w:t>
      </w:r>
      <w:r>
        <w:rPr>
          <w:rFonts w:hint="eastAsia" w:ascii="仿宋" w:hAnsi="仿宋" w:eastAsia="仿宋" w:cs="仿宋_GB2312"/>
          <w:b/>
          <w:bCs/>
          <w:sz w:val="32"/>
          <w:szCs w:val="32"/>
          <w:u w:val="single"/>
        </w:rPr>
        <w:t>铜陵有色建安钢构有限责任公司</w:t>
      </w:r>
    </w:p>
    <w:p>
      <w:pPr>
        <w:spacing w:line="840" w:lineRule="auto"/>
        <w:rPr>
          <w:rFonts w:ascii="仿宋" w:hAnsi="仿宋" w:eastAsia="仿宋" w:cs="仿宋_GB2312"/>
          <w:b/>
          <w:bCs/>
          <w:sz w:val="32"/>
          <w:szCs w:val="32"/>
          <w:u w:val="single"/>
        </w:rPr>
      </w:pPr>
      <w:r>
        <w:rPr>
          <w:rFonts w:hint="eastAsia" w:ascii="仿宋" w:hAnsi="仿宋" w:eastAsia="仿宋" w:cs="仿宋_GB2312"/>
          <w:b/>
          <w:bCs/>
          <w:sz w:val="32"/>
          <w:szCs w:val="32"/>
        </w:rPr>
        <w:t>联系人：</w:t>
      </w:r>
      <w:r>
        <w:rPr>
          <w:rFonts w:hint="eastAsia" w:ascii="仿宋" w:hAnsi="仿宋" w:eastAsia="仿宋" w:cs="仿宋_GB2312"/>
          <w:b/>
          <w:bCs/>
          <w:sz w:val="32"/>
          <w:szCs w:val="32"/>
          <w:u w:val="single"/>
        </w:rPr>
        <w:t xml:space="preserve">姚胜红（13965233409）李晓会（18856237080）        </w:t>
      </w:r>
    </w:p>
    <w:p>
      <w:pPr>
        <w:spacing w:line="840" w:lineRule="auto"/>
        <w:rPr>
          <w:rFonts w:ascii="仿宋" w:hAnsi="仿宋" w:eastAsia="仿宋" w:cs="仿宋_GB2312"/>
          <w:b/>
          <w:bCs/>
          <w:sz w:val="32"/>
          <w:szCs w:val="32"/>
          <w:u w:val="single"/>
        </w:rPr>
      </w:pPr>
      <w:r>
        <w:rPr>
          <w:rFonts w:hint="eastAsia" w:ascii="仿宋" w:hAnsi="仿宋" w:eastAsia="仿宋" w:cs="仿宋_GB2312"/>
          <w:b/>
          <w:bCs/>
          <w:sz w:val="32"/>
          <w:szCs w:val="32"/>
        </w:rPr>
        <w:t>投标截止时间：</w:t>
      </w:r>
      <w:r>
        <w:rPr>
          <w:rFonts w:hint="eastAsia" w:ascii="仿宋" w:hAnsi="仿宋" w:eastAsia="仿宋" w:cs="仿宋_GB2312"/>
          <w:b/>
          <w:bCs/>
          <w:sz w:val="32"/>
          <w:szCs w:val="32"/>
          <w:u w:val="single"/>
        </w:rPr>
        <w:t xml:space="preserve"> 2023年 11月23日 9：00   </w:t>
      </w:r>
    </w:p>
    <w:p>
      <w:pPr>
        <w:rPr>
          <w:rFonts w:ascii="仿宋" w:hAnsi="仿宋" w:eastAsia="仿宋" w:cs="仿宋_GB2312"/>
          <w:b/>
          <w:bCs/>
          <w:sz w:val="32"/>
          <w:szCs w:val="32"/>
          <w:u w:val="single"/>
        </w:rPr>
      </w:pPr>
    </w:p>
    <w:p>
      <w:pPr>
        <w:rPr>
          <w:rFonts w:ascii="仿宋" w:hAnsi="仿宋" w:eastAsia="仿宋" w:cs="仿宋_GB2312"/>
          <w:b/>
          <w:bCs/>
          <w:sz w:val="32"/>
          <w:szCs w:val="32"/>
          <w:u w:val="single"/>
        </w:rPr>
      </w:pPr>
    </w:p>
    <w:p>
      <w:pPr>
        <w:rPr>
          <w:rFonts w:ascii="仿宋" w:hAnsi="仿宋" w:eastAsia="仿宋" w:cs="仿宋_GB2312"/>
          <w:b/>
          <w:bCs/>
          <w:sz w:val="32"/>
          <w:szCs w:val="32"/>
          <w:u w:val="single"/>
        </w:rPr>
      </w:pPr>
    </w:p>
    <w:p>
      <w:pPr>
        <w:rPr>
          <w:rFonts w:ascii="仿宋" w:hAnsi="仿宋" w:eastAsia="仿宋" w:cs="仿宋_GB2312"/>
          <w:b/>
          <w:bCs/>
          <w:sz w:val="32"/>
          <w:szCs w:val="32"/>
          <w:u w:val="single"/>
        </w:rPr>
      </w:pPr>
    </w:p>
    <w:p>
      <w:pPr>
        <w:rPr>
          <w:rFonts w:ascii="仿宋" w:hAnsi="仿宋" w:eastAsia="仿宋" w:cs="仿宋_GB2312"/>
          <w:b/>
          <w:bCs/>
          <w:sz w:val="28"/>
          <w:szCs w:val="28"/>
        </w:rPr>
      </w:pPr>
    </w:p>
    <w:p>
      <w:pPr>
        <w:rPr>
          <w:rFonts w:ascii="仿宋" w:hAnsi="仿宋" w:eastAsia="仿宋" w:cs="仿宋_GB2312"/>
          <w:b/>
          <w:bCs/>
          <w:sz w:val="28"/>
          <w:szCs w:val="28"/>
        </w:rPr>
      </w:pPr>
    </w:p>
    <w:p>
      <w:pPr>
        <w:rPr>
          <w:rFonts w:ascii="仿宋" w:hAnsi="仿宋" w:eastAsia="仿宋" w:cs="仿宋_GB2312"/>
          <w:b/>
          <w:bCs/>
          <w:sz w:val="28"/>
          <w:szCs w:val="28"/>
        </w:rPr>
      </w:pPr>
      <w:r>
        <w:rPr>
          <w:rFonts w:hint="eastAsia" w:ascii="仿宋" w:hAnsi="仿宋" w:eastAsia="仿宋" w:cs="仿宋_GB2312"/>
          <w:b/>
          <w:bCs/>
          <w:sz w:val="28"/>
          <w:szCs w:val="28"/>
        </w:rPr>
        <w:t>【声明】</w:t>
      </w:r>
    </w:p>
    <w:p>
      <w:pPr>
        <w:ind w:firstLine="560" w:firstLineChars="200"/>
        <w:rPr>
          <w:rFonts w:ascii="仿宋" w:hAnsi="仿宋" w:eastAsia="仿宋" w:cs="仿宋_GB2312"/>
          <w:sz w:val="28"/>
          <w:szCs w:val="28"/>
        </w:rPr>
      </w:pPr>
      <w:r>
        <w:rPr>
          <w:rFonts w:hint="eastAsia" w:ascii="仿宋" w:hAnsi="仿宋" w:eastAsia="仿宋" w:cs="仿宋_GB2312"/>
          <w:sz w:val="28"/>
          <w:szCs w:val="28"/>
        </w:rPr>
        <w:t>1、公开招标（竞价）是铜冠建安公司为规范自主采购管理，推进阳光工程而采取的公开竞争性采购方式，公司工程部根据阳光工程相关规定通过招标平台进行公开招标（竞价）。</w:t>
      </w:r>
    </w:p>
    <w:p>
      <w:pPr>
        <w:ind w:firstLine="560" w:firstLineChars="200"/>
        <w:rPr>
          <w:rFonts w:ascii="仿宋" w:hAnsi="仿宋" w:eastAsia="仿宋" w:cs="仿宋_GB2312"/>
          <w:b/>
          <w:sz w:val="36"/>
          <w:szCs w:val="36"/>
        </w:rPr>
      </w:pPr>
      <w:r>
        <w:rPr>
          <w:rFonts w:hint="eastAsia" w:ascii="仿宋" w:hAnsi="仿宋" w:eastAsia="仿宋" w:cs="仿宋_GB2312"/>
          <w:sz w:val="28"/>
          <w:szCs w:val="28"/>
        </w:rPr>
        <w:t>2、</w:t>
      </w:r>
      <w:r>
        <w:rPr>
          <w:rFonts w:hint="eastAsia" w:ascii="仿宋" w:hAnsi="仿宋" w:eastAsia="仿宋" w:cs="仿宋_GB2312"/>
          <w:sz w:val="28"/>
          <w:szCs w:val="28"/>
          <w:highlight w:val="yellow"/>
        </w:rPr>
        <w:t>公开招标</w:t>
      </w:r>
      <w:r>
        <w:rPr>
          <w:rFonts w:hint="default" w:ascii="仿宋" w:hAnsi="仿宋" w:eastAsia="仿宋" w:cs="仿宋_GB2312"/>
          <w:sz w:val="28"/>
          <w:szCs w:val="28"/>
          <w:highlight w:val="yellow"/>
        </w:rPr>
        <w:t>为不见面开标</w:t>
      </w:r>
      <w:r>
        <w:rPr>
          <w:rFonts w:hint="eastAsia" w:ascii="仿宋" w:hAnsi="仿宋" w:eastAsia="仿宋" w:cs="仿宋_GB2312"/>
          <w:sz w:val="28"/>
          <w:szCs w:val="28"/>
        </w:rPr>
        <w:t>。</w:t>
      </w:r>
    </w:p>
    <w:p>
      <w:pPr>
        <w:spacing w:before="312" w:beforeLines="100" w:after="156" w:afterLines="50"/>
        <w:jc w:val="center"/>
        <w:rPr>
          <w:rFonts w:ascii="仿宋" w:hAnsi="仿宋" w:eastAsia="仿宋" w:cs="仿宋_GB2312"/>
          <w:b/>
          <w:sz w:val="36"/>
          <w:szCs w:val="36"/>
        </w:rPr>
      </w:pPr>
      <w:r>
        <w:rPr>
          <w:rFonts w:hint="eastAsia" w:ascii="仿宋" w:hAnsi="仿宋" w:eastAsia="仿宋" w:cs="仿宋_GB2312"/>
          <w:b/>
          <w:sz w:val="36"/>
          <w:szCs w:val="36"/>
        </w:rPr>
        <w:t>一、招标日程安排</w:t>
      </w:r>
    </w:p>
    <w:p>
      <w:pPr>
        <w:ind w:firstLine="560" w:firstLineChars="200"/>
        <w:rPr>
          <w:rFonts w:ascii="仿宋" w:hAnsi="仿宋" w:eastAsia="仿宋" w:cs="仿宋_GB2312"/>
          <w:sz w:val="28"/>
          <w:szCs w:val="28"/>
          <w:u w:val="single"/>
        </w:rPr>
      </w:pPr>
      <w:r>
        <w:rPr>
          <w:rFonts w:hint="eastAsia" w:ascii="仿宋" w:hAnsi="仿宋" w:eastAsia="仿宋" w:cs="仿宋_GB2312"/>
          <w:sz w:val="28"/>
          <w:szCs w:val="28"/>
        </w:rPr>
        <w:t>1、招标公告发布日期：</w:t>
      </w:r>
      <w:r>
        <w:rPr>
          <w:rFonts w:hint="eastAsia" w:ascii="仿宋" w:hAnsi="仿宋" w:eastAsia="仿宋" w:cs="仿宋_GB2312"/>
          <w:sz w:val="28"/>
          <w:szCs w:val="28"/>
          <w:u w:val="single"/>
        </w:rPr>
        <w:t>2023年11月16日</w:t>
      </w:r>
    </w:p>
    <w:p>
      <w:pPr>
        <w:ind w:firstLine="560" w:firstLineChars="200"/>
        <w:rPr>
          <w:rFonts w:ascii="仿宋" w:hAnsi="仿宋" w:eastAsia="仿宋" w:cs="仿宋_GB2312"/>
          <w:sz w:val="28"/>
          <w:szCs w:val="28"/>
          <w:u w:val="single"/>
        </w:rPr>
      </w:pPr>
      <w:r>
        <w:rPr>
          <w:rFonts w:hint="eastAsia" w:ascii="仿宋" w:hAnsi="仿宋" w:eastAsia="仿宋" w:cs="仿宋_GB2312"/>
          <w:sz w:val="28"/>
          <w:szCs w:val="28"/>
        </w:rPr>
        <w:t>2、投标截止时间：</w:t>
      </w:r>
      <w:r>
        <w:rPr>
          <w:rFonts w:hint="eastAsia" w:ascii="仿宋" w:hAnsi="仿宋" w:eastAsia="仿宋" w:cs="仿宋_GB2312"/>
          <w:sz w:val="28"/>
          <w:szCs w:val="28"/>
          <w:u w:val="single"/>
        </w:rPr>
        <w:t>2023年11月23日9:00</w:t>
      </w:r>
    </w:p>
    <w:p>
      <w:pPr>
        <w:ind w:firstLine="560" w:firstLineChars="200"/>
        <w:rPr>
          <w:rFonts w:ascii="仿宋" w:hAnsi="仿宋" w:eastAsia="仿宋" w:cs="仿宋_GB2312"/>
          <w:sz w:val="28"/>
          <w:szCs w:val="28"/>
        </w:rPr>
      </w:pPr>
      <w:r>
        <w:rPr>
          <w:rFonts w:hint="eastAsia" w:ascii="仿宋" w:hAnsi="仿宋" w:eastAsia="仿宋" w:cs="仿宋_GB2312"/>
          <w:sz w:val="28"/>
          <w:szCs w:val="28"/>
        </w:rPr>
        <w:t>3、投标文件递交地点：</w:t>
      </w:r>
      <w:r>
        <w:rPr>
          <w:rFonts w:hint="eastAsia" w:ascii="仿宋" w:hAnsi="仿宋" w:eastAsia="仿宋" w:cs="仿宋_GB2312"/>
          <w:sz w:val="28"/>
          <w:szCs w:val="28"/>
          <w:u w:val="single"/>
        </w:rPr>
        <w:t>铜陵有色金属集团铜冠建筑安装股份有限公司经营部（翠湖三路老家酒业斜对面）</w:t>
      </w:r>
    </w:p>
    <w:p>
      <w:pPr>
        <w:ind w:firstLine="560" w:firstLineChars="200"/>
        <w:rPr>
          <w:rFonts w:ascii="仿宋" w:hAnsi="仿宋" w:eastAsia="仿宋" w:cs="仿宋_GB2312"/>
          <w:sz w:val="28"/>
          <w:szCs w:val="28"/>
          <w:u w:val="single"/>
        </w:rPr>
      </w:pPr>
      <w:r>
        <w:rPr>
          <w:rFonts w:hint="eastAsia" w:ascii="仿宋" w:hAnsi="仿宋" w:eastAsia="仿宋" w:cs="仿宋_GB2312"/>
          <w:sz w:val="28"/>
          <w:szCs w:val="28"/>
        </w:rPr>
        <w:t>4、投标文件收件人：</w:t>
      </w:r>
      <w:r>
        <w:rPr>
          <w:rFonts w:hint="eastAsia" w:ascii="仿宋" w:hAnsi="仿宋" w:eastAsia="仿宋" w:cs="仿宋_GB2312"/>
          <w:sz w:val="28"/>
          <w:szCs w:val="28"/>
          <w:u w:val="single"/>
        </w:rPr>
        <w:t>黄赟（18656211500）</w:t>
      </w:r>
    </w:p>
    <w:p>
      <w:pPr>
        <w:ind w:firstLine="560" w:firstLineChars="200"/>
        <w:rPr>
          <w:rFonts w:ascii="仿宋" w:hAnsi="仿宋" w:eastAsia="仿宋" w:cs="仿宋_GB2312"/>
          <w:sz w:val="28"/>
          <w:szCs w:val="28"/>
          <w:u w:val="single"/>
        </w:rPr>
      </w:pPr>
      <w:r>
        <w:rPr>
          <w:rFonts w:hint="eastAsia" w:ascii="仿宋" w:hAnsi="仿宋" w:eastAsia="仿宋" w:cs="仿宋_GB2312"/>
          <w:sz w:val="28"/>
          <w:szCs w:val="28"/>
        </w:rPr>
        <w:t>5、开标时间：</w:t>
      </w:r>
      <w:r>
        <w:rPr>
          <w:rFonts w:hint="eastAsia" w:ascii="仿宋" w:hAnsi="仿宋" w:eastAsia="仿宋" w:cs="仿宋_GB2312"/>
          <w:sz w:val="28"/>
          <w:szCs w:val="28"/>
          <w:u w:val="single"/>
        </w:rPr>
        <w:t>202</w:t>
      </w:r>
      <w:r>
        <w:rPr>
          <w:rFonts w:hint="default" w:ascii="仿宋" w:hAnsi="仿宋" w:eastAsia="仿宋" w:cs="仿宋_GB2312"/>
          <w:sz w:val="28"/>
          <w:szCs w:val="28"/>
          <w:u w:val="single"/>
        </w:rPr>
        <w:t>3</w:t>
      </w:r>
      <w:r>
        <w:rPr>
          <w:rFonts w:hint="eastAsia" w:ascii="仿宋" w:hAnsi="仿宋" w:eastAsia="仿宋" w:cs="仿宋_GB2312"/>
          <w:sz w:val="28"/>
          <w:szCs w:val="28"/>
          <w:u w:val="single"/>
        </w:rPr>
        <w:t>年11月23日9:00</w:t>
      </w:r>
    </w:p>
    <w:p>
      <w:pPr>
        <w:ind w:firstLine="560" w:firstLineChars="200"/>
        <w:rPr>
          <w:rFonts w:ascii="仿宋" w:hAnsi="仿宋" w:eastAsia="仿宋" w:cs="仿宋_GB2312"/>
          <w:sz w:val="28"/>
          <w:szCs w:val="28"/>
        </w:rPr>
      </w:pPr>
      <w:r>
        <w:rPr>
          <w:rFonts w:hint="eastAsia" w:ascii="仿宋" w:hAnsi="仿宋" w:eastAsia="仿宋" w:cs="仿宋_GB2312"/>
          <w:sz w:val="28"/>
          <w:szCs w:val="28"/>
        </w:rPr>
        <w:t>6、发中标通知书时间：另行通知</w:t>
      </w:r>
    </w:p>
    <w:p>
      <w:pPr>
        <w:ind w:firstLine="560" w:firstLineChars="200"/>
        <w:rPr>
          <w:rFonts w:ascii="仿宋" w:hAnsi="仿宋" w:eastAsia="仿宋" w:cs="仿宋_GB2312"/>
          <w:sz w:val="28"/>
          <w:szCs w:val="28"/>
        </w:rPr>
      </w:pPr>
      <w:r>
        <w:rPr>
          <w:rFonts w:hint="eastAsia" w:ascii="仿宋" w:hAnsi="仿宋" w:eastAsia="仿宋" w:cs="仿宋_GB2312"/>
          <w:sz w:val="28"/>
          <w:szCs w:val="28"/>
        </w:rPr>
        <w:t>7、签订合同时间：另行通知</w:t>
      </w:r>
    </w:p>
    <w:p>
      <w:pPr>
        <w:rPr>
          <w:rFonts w:ascii="仿宋" w:hAnsi="仿宋" w:eastAsia="仿宋" w:cs="仿宋_GB2312"/>
          <w:b/>
          <w:sz w:val="36"/>
          <w:szCs w:val="36"/>
        </w:rPr>
      </w:pPr>
      <w:r>
        <w:rPr>
          <w:rFonts w:hint="eastAsia" w:ascii="仿宋" w:hAnsi="仿宋" w:eastAsia="仿宋" w:cs="仿宋_GB2312"/>
          <w:b/>
          <w:sz w:val="36"/>
          <w:szCs w:val="36"/>
        </w:rPr>
        <w:br w:type="page"/>
      </w:r>
    </w:p>
    <w:p>
      <w:pPr>
        <w:spacing w:before="312" w:beforeLines="100" w:after="156" w:afterLines="50"/>
        <w:jc w:val="center"/>
        <w:rPr>
          <w:rFonts w:ascii="仿宋" w:hAnsi="仿宋" w:eastAsia="仿宋" w:cs="仿宋_GB2312"/>
          <w:b/>
          <w:sz w:val="36"/>
          <w:szCs w:val="36"/>
        </w:rPr>
      </w:pPr>
    </w:p>
    <w:p>
      <w:pPr>
        <w:spacing w:before="312" w:beforeLines="100" w:after="156" w:afterLines="50"/>
        <w:jc w:val="center"/>
        <w:rPr>
          <w:rFonts w:ascii="仿宋" w:hAnsi="仿宋" w:eastAsia="仿宋" w:cs="仿宋_GB2312"/>
          <w:b/>
          <w:sz w:val="36"/>
          <w:szCs w:val="36"/>
        </w:rPr>
      </w:pPr>
      <w:r>
        <w:rPr>
          <w:rFonts w:hint="eastAsia" w:ascii="仿宋" w:hAnsi="仿宋" w:eastAsia="仿宋" w:cs="仿宋_GB2312"/>
          <w:b/>
          <w:sz w:val="36"/>
          <w:szCs w:val="36"/>
        </w:rPr>
        <w:t>二、招标内容</w:t>
      </w:r>
    </w:p>
    <w:p>
      <w:pPr>
        <w:ind w:firstLine="560" w:firstLineChars="200"/>
        <w:rPr>
          <w:rFonts w:ascii="仿宋" w:hAnsi="仿宋" w:eastAsia="仿宋" w:cs="仿宋_GB2312"/>
          <w:sz w:val="28"/>
          <w:szCs w:val="28"/>
        </w:rPr>
      </w:pPr>
      <w:r>
        <w:rPr>
          <w:rFonts w:hint="eastAsia" w:ascii="仿宋" w:hAnsi="仿宋" w:eastAsia="仿宋" w:cs="仿宋_GB2312"/>
          <w:sz w:val="28"/>
          <w:szCs w:val="28"/>
        </w:rPr>
        <w:t>本次招标的具体内容：</w:t>
      </w:r>
    </w:p>
    <w:p>
      <w:pPr>
        <w:ind w:firstLine="560" w:firstLineChars="200"/>
        <w:jc w:val="center"/>
        <w:rPr>
          <w:rFonts w:ascii="仿宋" w:hAnsi="仿宋" w:eastAsia="仿宋" w:cs="仿宋_GB2312"/>
          <w:sz w:val="28"/>
          <w:szCs w:val="28"/>
        </w:rPr>
      </w:pPr>
      <w:r>
        <w:rPr>
          <w:rFonts w:hint="eastAsia" w:ascii="仿宋" w:hAnsi="仿宋" w:eastAsia="仿宋" w:cs="仿宋_GB2312"/>
          <w:sz w:val="28"/>
          <w:szCs w:val="28"/>
        </w:rPr>
        <w:t>党建文化阵地建设广告牌</w:t>
      </w:r>
    </w:p>
    <w:tbl>
      <w:tblPr>
        <w:tblStyle w:val="5"/>
        <w:tblW w:w="10000" w:type="dxa"/>
        <w:jc w:val="center"/>
        <w:tblLayout w:type="autofit"/>
        <w:tblCellMar>
          <w:top w:w="0" w:type="dxa"/>
          <w:left w:w="108" w:type="dxa"/>
          <w:bottom w:w="0" w:type="dxa"/>
          <w:right w:w="108" w:type="dxa"/>
        </w:tblCellMar>
      </w:tblPr>
      <w:tblGrid>
        <w:gridCol w:w="640"/>
        <w:gridCol w:w="2540"/>
        <w:gridCol w:w="2740"/>
        <w:gridCol w:w="1619"/>
        <w:gridCol w:w="1559"/>
        <w:gridCol w:w="902"/>
      </w:tblGrid>
      <w:tr>
        <w:tblPrEx>
          <w:tblCellMar>
            <w:top w:w="0" w:type="dxa"/>
            <w:left w:w="108" w:type="dxa"/>
            <w:bottom w:w="0" w:type="dxa"/>
            <w:right w:w="108" w:type="dxa"/>
          </w:tblCellMar>
        </w:tblPrEx>
        <w:trPr>
          <w:trHeight w:val="600" w:hRule="atLeast"/>
          <w:jc w:val="center"/>
        </w:trPr>
        <w:tc>
          <w:tcPr>
            <w:tcW w:w="640"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b/>
                <w:bCs/>
                <w:color w:val="000000"/>
                <w:kern w:val="0"/>
                <w:sz w:val="22"/>
                <w:szCs w:val="22"/>
              </w:rPr>
            </w:pPr>
            <w:r>
              <w:rPr>
                <w:rFonts w:hint="eastAsia" w:ascii="宋体" w:hAnsi="宋体" w:cs="宋体"/>
                <w:b/>
                <w:bCs/>
                <w:color w:val="000000"/>
                <w:kern w:val="0"/>
                <w:sz w:val="22"/>
                <w:szCs w:val="22"/>
              </w:rPr>
              <w:t>序号</w:t>
            </w:r>
          </w:p>
        </w:tc>
        <w:tc>
          <w:tcPr>
            <w:tcW w:w="2540"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宋体" w:hAnsi="宋体" w:cs="宋体"/>
                <w:b/>
                <w:bCs/>
                <w:color w:val="000000"/>
                <w:kern w:val="0"/>
                <w:sz w:val="22"/>
                <w:szCs w:val="22"/>
              </w:rPr>
            </w:pPr>
            <w:r>
              <w:rPr>
                <w:rFonts w:hint="eastAsia" w:ascii="宋体" w:hAnsi="宋体" w:cs="宋体"/>
                <w:b/>
                <w:bCs/>
                <w:color w:val="000000"/>
                <w:kern w:val="0"/>
                <w:sz w:val="22"/>
                <w:szCs w:val="22"/>
              </w:rPr>
              <w:t>名称</w:t>
            </w:r>
          </w:p>
        </w:tc>
        <w:tc>
          <w:tcPr>
            <w:tcW w:w="2740"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工艺要求</w:t>
            </w:r>
          </w:p>
        </w:tc>
        <w:tc>
          <w:tcPr>
            <w:tcW w:w="1619"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长度（m）</w:t>
            </w:r>
          </w:p>
        </w:tc>
        <w:tc>
          <w:tcPr>
            <w:tcW w:w="1559"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高度（m）</w:t>
            </w:r>
          </w:p>
        </w:tc>
        <w:tc>
          <w:tcPr>
            <w:tcW w:w="902"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宋体" w:hAnsi="宋体" w:cs="宋体"/>
                <w:b/>
                <w:bCs/>
                <w:color w:val="000000"/>
                <w:kern w:val="0"/>
                <w:sz w:val="18"/>
                <w:szCs w:val="18"/>
              </w:rPr>
            </w:pPr>
            <w:r>
              <w:rPr>
                <w:rFonts w:hint="eastAsia" w:ascii="宋体" w:hAnsi="宋体" w:cs="宋体"/>
                <w:b/>
                <w:bCs/>
                <w:color w:val="000000"/>
                <w:kern w:val="0"/>
                <w:sz w:val="18"/>
                <w:szCs w:val="18"/>
              </w:rPr>
              <w:t>备注</w:t>
            </w:r>
          </w:p>
        </w:tc>
      </w:tr>
      <w:tr>
        <w:tblPrEx>
          <w:tblCellMar>
            <w:top w:w="0" w:type="dxa"/>
            <w:left w:w="108" w:type="dxa"/>
            <w:bottom w:w="0" w:type="dxa"/>
            <w:right w:w="108" w:type="dxa"/>
          </w:tblCellMar>
        </w:tblPrEx>
        <w:trPr>
          <w:trHeight w:val="399" w:hRule="atLeast"/>
          <w:jc w:val="center"/>
        </w:trPr>
        <w:tc>
          <w:tcPr>
            <w:tcW w:w="640"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1</w:t>
            </w:r>
          </w:p>
        </w:tc>
        <w:tc>
          <w:tcPr>
            <w:tcW w:w="254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厂区鸟瞰图</w:t>
            </w:r>
          </w:p>
        </w:tc>
        <w:tc>
          <w:tcPr>
            <w:tcW w:w="2740"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刀刮布打印</w:t>
            </w:r>
          </w:p>
        </w:tc>
        <w:tc>
          <w:tcPr>
            <w:tcW w:w="161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2.4</w:t>
            </w:r>
          </w:p>
        </w:tc>
        <w:tc>
          <w:tcPr>
            <w:tcW w:w="155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1.2</w:t>
            </w:r>
          </w:p>
        </w:tc>
        <w:tc>
          <w:tcPr>
            <w:tcW w:w="90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2"/>
                <w:szCs w:val="22"/>
              </w:rPr>
            </w:pPr>
            <w:r>
              <w:rPr>
                <w:rFonts w:hint="eastAsia" w:ascii="宋体" w:hAnsi="宋体" w:cs="宋体"/>
                <w:color w:val="000000"/>
                <w:kern w:val="0"/>
                <w:sz w:val="22"/>
                <w:szCs w:val="22"/>
              </w:rPr>
              <w:t>　</w:t>
            </w:r>
          </w:p>
        </w:tc>
      </w:tr>
      <w:tr>
        <w:tblPrEx>
          <w:tblCellMar>
            <w:top w:w="0" w:type="dxa"/>
            <w:left w:w="108" w:type="dxa"/>
            <w:bottom w:w="0" w:type="dxa"/>
            <w:right w:w="108" w:type="dxa"/>
          </w:tblCellMar>
        </w:tblPrEx>
        <w:trPr>
          <w:trHeight w:val="399" w:hRule="atLeast"/>
          <w:jc w:val="center"/>
        </w:trPr>
        <w:tc>
          <w:tcPr>
            <w:tcW w:w="640"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2</w:t>
            </w:r>
          </w:p>
        </w:tc>
        <w:tc>
          <w:tcPr>
            <w:tcW w:w="254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鸟瞰图宣传栏</w:t>
            </w:r>
          </w:p>
        </w:tc>
        <w:tc>
          <w:tcPr>
            <w:tcW w:w="2740"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SUS201不锈钢</w:t>
            </w:r>
          </w:p>
        </w:tc>
        <w:tc>
          <w:tcPr>
            <w:tcW w:w="161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2.6</w:t>
            </w:r>
          </w:p>
        </w:tc>
        <w:tc>
          <w:tcPr>
            <w:tcW w:w="155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2.6</w:t>
            </w:r>
          </w:p>
        </w:tc>
        <w:tc>
          <w:tcPr>
            <w:tcW w:w="90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2"/>
                <w:szCs w:val="22"/>
              </w:rPr>
            </w:pPr>
            <w:r>
              <w:rPr>
                <w:rFonts w:hint="eastAsia" w:ascii="宋体" w:hAnsi="宋体" w:cs="宋体"/>
                <w:color w:val="000000"/>
                <w:kern w:val="0"/>
                <w:sz w:val="22"/>
                <w:szCs w:val="22"/>
              </w:rPr>
              <w:t>　</w:t>
            </w:r>
          </w:p>
        </w:tc>
      </w:tr>
      <w:tr>
        <w:tblPrEx>
          <w:tblCellMar>
            <w:top w:w="0" w:type="dxa"/>
            <w:left w:w="108" w:type="dxa"/>
            <w:bottom w:w="0" w:type="dxa"/>
            <w:right w:w="108" w:type="dxa"/>
          </w:tblCellMar>
        </w:tblPrEx>
        <w:trPr>
          <w:trHeight w:val="399" w:hRule="atLeast"/>
          <w:jc w:val="center"/>
        </w:trPr>
        <w:tc>
          <w:tcPr>
            <w:tcW w:w="640"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3</w:t>
            </w:r>
          </w:p>
        </w:tc>
        <w:tc>
          <w:tcPr>
            <w:tcW w:w="254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厂内行车宣传标语牌</w:t>
            </w:r>
          </w:p>
        </w:tc>
        <w:tc>
          <w:tcPr>
            <w:tcW w:w="2740"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彩钢瓦直喷打孔</w:t>
            </w:r>
          </w:p>
        </w:tc>
        <w:tc>
          <w:tcPr>
            <w:tcW w:w="161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1.1</w:t>
            </w:r>
          </w:p>
        </w:tc>
        <w:tc>
          <w:tcPr>
            <w:tcW w:w="155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1.1</w:t>
            </w:r>
          </w:p>
        </w:tc>
        <w:tc>
          <w:tcPr>
            <w:tcW w:w="90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2"/>
                <w:szCs w:val="22"/>
              </w:rPr>
            </w:pPr>
            <w:r>
              <w:rPr>
                <w:rFonts w:hint="eastAsia" w:ascii="宋体" w:hAnsi="宋体" w:cs="宋体"/>
                <w:color w:val="000000"/>
                <w:kern w:val="0"/>
                <w:sz w:val="22"/>
                <w:szCs w:val="22"/>
              </w:rPr>
              <w:t>　</w:t>
            </w:r>
          </w:p>
        </w:tc>
      </w:tr>
      <w:tr>
        <w:tblPrEx>
          <w:tblCellMar>
            <w:top w:w="0" w:type="dxa"/>
            <w:left w:w="108" w:type="dxa"/>
            <w:bottom w:w="0" w:type="dxa"/>
            <w:right w:w="108" w:type="dxa"/>
          </w:tblCellMar>
        </w:tblPrEx>
        <w:trPr>
          <w:trHeight w:val="399" w:hRule="atLeast"/>
          <w:jc w:val="center"/>
        </w:trPr>
        <w:tc>
          <w:tcPr>
            <w:tcW w:w="640"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4</w:t>
            </w:r>
          </w:p>
        </w:tc>
        <w:tc>
          <w:tcPr>
            <w:tcW w:w="254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生态文化园展板</w:t>
            </w:r>
          </w:p>
        </w:tc>
        <w:tc>
          <w:tcPr>
            <w:tcW w:w="2740"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SUS201不锈钢烤漆侧厚20cm</w:t>
            </w:r>
          </w:p>
        </w:tc>
        <w:tc>
          <w:tcPr>
            <w:tcW w:w="161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6</w:t>
            </w:r>
          </w:p>
        </w:tc>
        <w:tc>
          <w:tcPr>
            <w:tcW w:w="155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1.48</w:t>
            </w:r>
          </w:p>
        </w:tc>
        <w:tc>
          <w:tcPr>
            <w:tcW w:w="90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2"/>
                <w:szCs w:val="22"/>
              </w:rPr>
            </w:pPr>
            <w:r>
              <w:rPr>
                <w:rFonts w:hint="eastAsia" w:ascii="宋体" w:hAnsi="宋体" w:cs="宋体"/>
                <w:color w:val="000000"/>
                <w:kern w:val="0"/>
                <w:sz w:val="22"/>
                <w:szCs w:val="22"/>
              </w:rPr>
              <w:t>　</w:t>
            </w:r>
          </w:p>
        </w:tc>
      </w:tr>
      <w:tr>
        <w:tblPrEx>
          <w:tblCellMar>
            <w:top w:w="0" w:type="dxa"/>
            <w:left w:w="108" w:type="dxa"/>
            <w:bottom w:w="0" w:type="dxa"/>
            <w:right w:w="108" w:type="dxa"/>
          </w:tblCellMar>
        </w:tblPrEx>
        <w:trPr>
          <w:trHeight w:val="792" w:hRule="atLeast"/>
          <w:jc w:val="center"/>
        </w:trPr>
        <w:tc>
          <w:tcPr>
            <w:tcW w:w="640" w:type="dxa"/>
            <w:vMerge w:val="restart"/>
            <w:tcBorders>
              <w:top w:val="nil"/>
              <w:left w:val="single" w:color="auto" w:sz="4" w:space="0"/>
              <w:bottom w:val="single" w:color="000000" w:sz="4" w:space="0"/>
              <w:right w:val="single" w:color="auto" w:sz="4" w:space="0"/>
            </w:tcBorders>
            <w:shd w:val="clear" w:color="auto" w:fill="auto"/>
            <w:noWrap/>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5</w:t>
            </w:r>
          </w:p>
        </w:tc>
        <w:tc>
          <w:tcPr>
            <w:tcW w:w="2540" w:type="dxa"/>
            <w:vMerge w:val="restart"/>
            <w:tcBorders>
              <w:top w:val="nil"/>
              <w:left w:val="single" w:color="auto" w:sz="4" w:space="0"/>
              <w:bottom w:val="single" w:color="000000" w:sz="4" w:space="0"/>
              <w:right w:val="single" w:color="auto"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厂区内灯箱框架焊接及安装</w:t>
            </w:r>
          </w:p>
        </w:tc>
        <w:tc>
          <w:tcPr>
            <w:tcW w:w="2740" w:type="dxa"/>
            <w:tcBorders>
              <w:top w:val="nil"/>
              <w:left w:val="nil"/>
              <w:bottom w:val="single" w:color="auto" w:sz="4" w:space="0"/>
              <w:right w:val="single" w:color="auto"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4X4镀锌方管焊接 （含焊接及安装）</w:t>
            </w:r>
          </w:p>
        </w:tc>
        <w:tc>
          <w:tcPr>
            <w:tcW w:w="161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w:t>
            </w:r>
          </w:p>
        </w:tc>
        <w:tc>
          <w:tcPr>
            <w:tcW w:w="155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1.6</w:t>
            </w:r>
          </w:p>
        </w:tc>
        <w:tc>
          <w:tcPr>
            <w:tcW w:w="90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2"/>
                <w:szCs w:val="22"/>
              </w:rPr>
            </w:pPr>
            <w:r>
              <w:rPr>
                <w:rFonts w:hint="eastAsia" w:ascii="宋体" w:hAnsi="宋体" w:cs="宋体"/>
                <w:color w:val="000000"/>
                <w:kern w:val="0"/>
                <w:sz w:val="22"/>
                <w:szCs w:val="22"/>
              </w:rPr>
              <w:t>　</w:t>
            </w:r>
          </w:p>
        </w:tc>
      </w:tr>
      <w:tr>
        <w:tblPrEx>
          <w:tblCellMar>
            <w:top w:w="0" w:type="dxa"/>
            <w:left w:w="108" w:type="dxa"/>
            <w:bottom w:w="0" w:type="dxa"/>
            <w:right w:w="108" w:type="dxa"/>
          </w:tblCellMar>
        </w:tblPrEx>
        <w:trPr>
          <w:trHeight w:val="624" w:hRule="atLeast"/>
          <w:jc w:val="center"/>
        </w:trPr>
        <w:tc>
          <w:tcPr>
            <w:tcW w:w="640" w:type="dxa"/>
            <w:vMerge w:val="continue"/>
            <w:tcBorders>
              <w:top w:val="nil"/>
              <w:left w:val="single" w:color="auto" w:sz="4" w:space="0"/>
              <w:bottom w:val="single" w:color="000000" w:sz="4" w:space="0"/>
              <w:right w:val="single" w:color="auto" w:sz="4" w:space="0"/>
            </w:tcBorders>
            <w:vAlign w:val="center"/>
          </w:tcPr>
          <w:p>
            <w:pPr>
              <w:widowControl/>
              <w:jc w:val="left"/>
              <w:rPr>
                <w:rFonts w:ascii="宋体" w:hAnsi="宋体" w:cs="宋体"/>
                <w:color w:val="000000"/>
                <w:kern w:val="0"/>
                <w:sz w:val="20"/>
                <w:szCs w:val="20"/>
              </w:rPr>
            </w:pPr>
          </w:p>
        </w:tc>
        <w:tc>
          <w:tcPr>
            <w:tcW w:w="2540" w:type="dxa"/>
            <w:vMerge w:val="continue"/>
            <w:tcBorders>
              <w:top w:val="nil"/>
              <w:left w:val="single" w:color="auto" w:sz="4" w:space="0"/>
              <w:bottom w:val="single" w:color="000000" w:sz="4" w:space="0"/>
              <w:right w:val="single" w:color="auto" w:sz="4" w:space="0"/>
            </w:tcBorders>
            <w:vAlign w:val="center"/>
          </w:tcPr>
          <w:p>
            <w:pPr>
              <w:widowControl/>
              <w:jc w:val="left"/>
              <w:rPr>
                <w:rFonts w:ascii="宋体" w:hAnsi="宋体" w:cs="宋体"/>
                <w:color w:val="000000"/>
                <w:kern w:val="0"/>
                <w:sz w:val="18"/>
                <w:szCs w:val="18"/>
              </w:rPr>
            </w:pPr>
          </w:p>
        </w:tc>
        <w:tc>
          <w:tcPr>
            <w:tcW w:w="2740" w:type="dxa"/>
            <w:tcBorders>
              <w:top w:val="nil"/>
              <w:left w:val="nil"/>
              <w:bottom w:val="single" w:color="auto" w:sz="4" w:space="0"/>
              <w:right w:val="single" w:color="auto"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4X4镀锌方管焊接 （含焊接及安装）</w:t>
            </w:r>
          </w:p>
        </w:tc>
        <w:tc>
          <w:tcPr>
            <w:tcW w:w="161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9</w:t>
            </w:r>
          </w:p>
        </w:tc>
        <w:tc>
          <w:tcPr>
            <w:tcW w:w="155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1.6</w:t>
            </w:r>
          </w:p>
        </w:tc>
        <w:tc>
          <w:tcPr>
            <w:tcW w:w="90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2"/>
                <w:szCs w:val="22"/>
              </w:rPr>
            </w:pPr>
            <w:r>
              <w:rPr>
                <w:rFonts w:hint="eastAsia" w:ascii="宋体" w:hAnsi="宋体" w:cs="宋体"/>
                <w:color w:val="000000"/>
                <w:kern w:val="0"/>
                <w:sz w:val="22"/>
                <w:szCs w:val="22"/>
              </w:rPr>
              <w:t>　</w:t>
            </w:r>
          </w:p>
        </w:tc>
      </w:tr>
      <w:tr>
        <w:tblPrEx>
          <w:tblCellMar>
            <w:top w:w="0" w:type="dxa"/>
            <w:left w:w="108" w:type="dxa"/>
            <w:bottom w:w="0" w:type="dxa"/>
            <w:right w:w="108" w:type="dxa"/>
          </w:tblCellMar>
        </w:tblPrEx>
        <w:trPr>
          <w:trHeight w:val="1224" w:hRule="atLeast"/>
          <w:jc w:val="center"/>
        </w:trPr>
        <w:tc>
          <w:tcPr>
            <w:tcW w:w="640" w:type="dxa"/>
            <w:vMerge w:val="restart"/>
            <w:tcBorders>
              <w:top w:val="nil"/>
              <w:left w:val="single" w:color="auto" w:sz="4" w:space="0"/>
              <w:bottom w:val="single" w:color="000000" w:sz="4" w:space="0"/>
              <w:right w:val="single" w:color="auto" w:sz="4" w:space="0"/>
            </w:tcBorders>
            <w:shd w:val="clear" w:color="auto" w:fill="auto"/>
            <w:noWrap/>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6</w:t>
            </w:r>
          </w:p>
        </w:tc>
        <w:tc>
          <w:tcPr>
            <w:tcW w:w="2540" w:type="dxa"/>
            <w:vMerge w:val="restart"/>
            <w:tcBorders>
              <w:top w:val="nil"/>
              <w:left w:val="single" w:color="auto" w:sz="4" w:space="0"/>
              <w:bottom w:val="single" w:color="000000" w:sz="4" w:space="0"/>
              <w:right w:val="single" w:color="auto"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厂区内灯箱制作及安装</w:t>
            </w:r>
          </w:p>
        </w:tc>
        <w:tc>
          <w:tcPr>
            <w:tcW w:w="2740" w:type="dxa"/>
            <w:tcBorders>
              <w:top w:val="nil"/>
              <w:left w:val="nil"/>
              <w:bottom w:val="single" w:color="auto" w:sz="4" w:space="0"/>
              <w:right w:val="single" w:color="auto"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8CM铝合金型材边框、画面可更换、灯箱底板、高亮LED防水灯条、表面敷卡布软膜25丝高清UV打印、交流接触器+空开+时控开关及变压器</w:t>
            </w:r>
          </w:p>
        </w:tc>
        <w:tc>
          <w:tcPr>
            <w:tcW w:w="161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10</w:t>
            </w:r>
          </w:p>
        </w:tc>
        <w:tc>
          <w:tcPr>
            <w:tcW w:w="155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1.6</w:t>
            </w:r>
          </w:p>
        </w:tc>
        <w:tc>
          <w:tcPr>
            <w:tcW w:w="90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2"/>
                <w:szCs w:val="22"/>
              </w:rPr>
            </w:pPr>
            <w:r>
              <w:rPr>
                <w:rFonts w:hint="eastAsia" w:ascii="宋体" w:hAnsi="宋体" w:cs="宋体"/>
                <w:color w:val="000000"/>
                <w:kern w:val="0"/>
                <w:sz w:val="22"/>
                <w:szCs w:val="22"/>
              </w:rPr>
              <w:t>　</w:t>
            </w:r>
          </w:p>
        </w:tc>
      </w:tr>
      <w:tr>
        <w:tblPrEx>
          <w:tblCellMar>
            <w:top w:w="0" w:type="dxa"/>
            <w:left w:w="108" w:type="dxa"/>
            <w:bottom w:w="0" w:type="dxa"/>
            <w:right w:w="108" w:type="dxa"/>
          </w:tblCellMar>
        </w:tblPrEx>
        <w:trPr>
          <w:trHeight w:val="1080" w:hRule="atLeast"/>
          <w:jc w:val="center"/>
        </w:trPr>
        <w:tc>
          <w:tcPr>
            <w:tcW w:w="640" w:type="dxa"/>
            <w:vMerge w:val="continue"/>
            <w:tcBorders>
              <w:top w:val="nil"/>
              <w:left w:val="single" w:color="auto" w:sz="4" w:space="0"/>
              <w:bottom w:val="single" w:color="000000" w:sz="4" w:space="0"/>
              <w:right w:val="single" w:color="auto" w:sz="4" w:space="0"/>
            </w:tcBorders>
            <w:vAlign w:val="center"/>
          </w:tcPr>
          <w:p>
            <w:pPr>
              <w:widowControl/>
              <w:jc w:val="left"/>
              <w:rPr>
                <w:rFonts w:ascii="宋体" w:hAnsi="宋体" w:cs="宋体"/>
                <w:color w:val="000000"/>
                <w:kern w:val="0"/>
                <w:sz w:val="20"/>
                <w:szCs w:val="20"/>
              </w:rPr>
            </w:pPr>
          </w:p>
        </w:tc>
        <w:tc>
          <w:tcPr>
            <w:tcW w:w="2540" w:type="dxa"/>
            <w:vMerge w:val="continue"/>
            <w:tcBorders>
              <w:top w:val="nil"/>
              <w:left w:val="single" w:color="auto" w:sz="4" w:space="0"/>
              <w:bottom w:val="single" w:color="000000" w:sz="4" w:space="0"/>
              <w:right w:val="single" w:color="auto" w:sz="4" w:space="0"/>
            </w:tcBorders>
            <w:vAlign w:val="center"/>
          </w:tcPr>
          <w:p>
            <w:pPr>
              <w:widowControl/>
              <w:jc w:val="left"/>
              <w:rPr>
                <w:rFonts w:ascii="宋体" w:hAnsi="宋体" w:cs="宋体"/>
                <w:color w:val="000000"/>
                <w:kern w:val="0"/>
                <w:sz w:val="18"/>
                <w:szCs w:val="18"/>
              </w:rPr>
            </w:pPr>
          </w:p>
        </w:tc>
        <w:tc>
          <w:tcPr>
            <w:tcW w:w="2740" w:type="dxa"/>
            <w:tcBorders>
              <w:top w:val="nil"/>
              <w:left w:val="nil"/>
              <w:bottom w:val="single" w:color="auto" w:sz="4" w:space="0"/>
              <w:right w:val="single" w:color="auto" w:sz="4" w:space="0"/>
            </w:tcBorders>
            <w:shd w:val="clear" w:color="auto" w:fill="auto"/>
            <w:vAlign w:val="center"/>
          </w:tcPr>
          <w:p>
            <w:pPr>
              <w:widowControl/>
              <w:jc w:val="left"/>
              <w:rPr>
                <w:rFonts w:ascii="宋体" w:hAnsi="宋体" w:cs="宋体"/>
                <w:color w:val="000000"/>
                <w:kern w:val="0"/>
                <w:sz w:val="18"/>
                <w:szCs w:val="18"/>
              </w:rPr>
            </w:pPr>
            <w:r>
              <w:rPr>
                <w:rFonts w:hint="eastAsia" w:ascii="宋体" w:hAnsi="宋体" w:cs="宋体"/>
                <w:color w:val="000000"/>
                <w:kern w:val="0"/>
                <w:sz w:val="18"/>
                <w:szCs w:val="18"/>
              </w:rPr>
              <w:t>8CM铝合金型材边框、画面可更换、灯箱底板、高亮LED防水灯条、表面敷卡布软膜25丝高清UV打印、交流接触器+空开+时控开关及变压器</w:t>
            </w:r>
          </w:p>
        </w:tc>
        <w:tc>
          <w:tcPr>
            <w:tcW w:w="161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9</w:t>
            </w:r>
          </w:p>
        </w:tc>
        <w:tc>
          <w:tcPr>
            <w:tcW w:w="155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18"/>
                <w:szCs w:val="18"/>
              </w:rPr>
            </w:pPr>
            <w:r>
              <w:rPr>
                <w:rFonts w:hint="eastAsia" w:ascii="宋体" w:hAnsi="宋体" w:cs="宋体"/>
                <w:color w:val="000000"/>
                <w:kern w:val="0"/>
                <w:sz w:val="18"/>
                <w:szCs w:val="18"/>
              </w:rPr>
              <w:t>1.6</w:t>
            </w:r>
          </w:p>
        </w:tc>
        <w:tc>
          <w:tcPr>
            <w:tcW w:w="90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2"/>
                <w:szCs w:val="22"/>
              </w:rPr>
            </w:pPr>
            <w:r>
              <w:rPr>
                <w:rFonts w:hint="eastAsia" w:ascii="宋体" w:hAnsi="宋体" w:cs="宋体"/>
                <w:color w:val="000000"/>
                <w:kern w:val="0"/>
                <w:sz w:val="22"/>
                <w:szCs w:val="22"/>
              </w:rPr>
              <w:t>　</w:t>
            </w:r>
          </w:p>
        </w:tc>
      </w:tr>
    </w:tbl>
    <w:p>
      <w:pPr>
        <w:ind w:firstLine="560" w:firstLineChars="200"/>
        <w:rPr>
          <w:rFonts w:ascii="仿宋" w:hAnsi="仿宋" w:eastAsia="仿宋" w:cs="仿宋_GB2312"/>
          <w:sz w:val="28"/>
          <w:szCs w:val="28"/>
        </w:rPr>
      </w:pPr>
      <w:r>
        <w:rPr>
          <w:rFonts w:hint="eastAsia" w:ascii="仿宋" w:hAnsi="仿宋" w:eastAsia="仿宋" w:cs="仿宋_GB2312"/>
          <w:sz w:val="28"/>
          <w:szCs w:val="28"/>
        </w:rPr>
        <w:t>工艺要求：严格遵照各项内容工艺要求制作。</w:t>
      </w:r>
    </w:p>
    <w:p>
      <w:pPr>
        <w:ind w:firstLine="560" w:firstLineChars="200"/>
        <w:rPr>
          <w:rFonts w:ascii="仿宋" w:hAnsi="仿宋" w:eastAsia="仿宋" w:cs="仿宋_GB2312"/>
          <w:sz w:val="28"/>
          <w:szCs w:val="28"/>
        </w:rPr>
      </w:pPr>
      <w:r>
        <w:rPr>
          <w:rFonts w:hint="eastAsia" w:ascii="仿宋" w:hAnsi="仿宋" w:eastAsia="仿宋" w:cs="仿宋_GB2312"/>
          <w:sz w:val="28"/>
          <w:szCs w:val="28"/>
        </w:rPr>
        <w:t>安装要求：</w:t>
      </w:r>
      <w:r>
        <w:rPr>
          <w:rFonts w:hint="default" w:ascii="仿宋" w:hAnsi="仿宋" w:eastAsia="仿宋" w:cs="仿宋_GB2312"/>
          <w:sz w:val="28"/>
          <w:szCs w:val="28"/>
        </w:rPr>
        <w:t>以上所有内容务必确保在12月31日前制作安装验收完成</w:t>
      </w:r>
      <w:r>
        <w:rPr>
          <w:rFonts w:hint="eastAsia" w:ascii="仿宋" w:hAnsi="仿宋" w:eastAsia="仿宋" w:cs="仿宋_GB2312"/>
          <w:sz w:val="28"/>
          <w:szCs w:val="28"/>
        </w:rPr>
        <w:t>。后附具体效果图，务必保证达成效果图要求。</w:t>
      </w:r>
    </w:p>
    <w:p>
      <w:pPr>
        <w:ind w:firstLine="560" w:firstLineChars="200"/>
        <w:rPr>
          <w:rFonts w:ascii="仿宋" w:hAnsi="仿宋" w:eastAsia="仿宋" w:cs="仿宋_GB2312"/>
          <w:sz w:val="28"/>
          <w:szCs w:val="28"/>
        </w:rPr>
      </w:pPr>
      <w:r>
        <w:rPr>
          <w:rFonts w:hint="eastAsia" w:ascii="仿宋" w:hAnsi="仿宋" w:eastAsia="仿宋" w:cs="仿宋_GB2312"/>
          <w:sz w:val="28"/>
          <w:szCs w:val="28"/>
        </w:rPr>
        <w:t>质保要求：自产品交付之日起12个月内出现</w:t>
      </w:r>
      <w:r>
        <w:rPr>
          <w:rFonts w:ascii="仿宋" w:hAnsi="仿宋" w:eastAsia="仿宋" w:cs="仿宋_GB2312"/>
          <w:sz w:val="28"/>
          <w:szCs w:val="28"/>
        </w:rPr>
        <w:t>变形、脱落等</w:t>
      </w:r>
      <w:r>
        <w:rPr>
          <w:rFonts w:hint="eastAsia" w:ascii="仿宋" w:hAnsi="仿宋" w:eastAsia="仿宋" w:cs="仿宋_GB2312"/>
          <w:sz w:val="28"/>
          <w:szCs w:val="28"/>
        </w:rPr>
        <w:t>任何非人为因素导致的质量</w:t>
      </w:r>
      <w:r>
        <w:rPr>
          <w:rFonts w:ascii="仿宋" w:hAnsi="仿宋" w:eastAsia="仿宋" w:cs="仿宋_GB2312"/>
          <w:sz w:val="28"/>
          <w:szCs w:val="28"/>
        </w:rPr>
        <w:t>问题免费维修</w:t>
      </w:r>
      <w:r>
        <w:rPr>
          <w:rFonts w:hint="eastAsia" w:ascii="仿宋" w:hAnsi="仿宋" w:eastAsia="仿宋" w:cs="仿宋_GB2312"/>
          <w:sz w:val="28"/>
          <w:szCs w:val="28"/>
        </w:rPr>
        <w:t>。</w:t>
      </w:r>
    </w:p>
    <w:p>
      <w:pPr>
        <w:ind w:firstLine="560" w:firstLineChars="200"/>
        <w:rPr>
          <w:rFonts w:ascii="仿宋" w:hAnsi="仿宋" w:eastAsia="仿宋" w:cs="仿宋_GB2312"/>
          <w:sz w:val="28"/>
          <w:szCs w:val="28"/>
        </w:rPr>
      </w:pPr>
    </w:p>
    <w:p>
      <w:pPr>
        <w:ind w:firstLine="560" w:firstLineChars="200"/>
        <w:rPr>
          <w:rFonts w:ascii="仿宋" w:hAnsi="仿宋" w:eastAsia="仿宋" w:cs="仿宋_GB2312"/>
          <w:sz w:val="28"/>
          <w:szCs w:val="28"/>
        </w:rPr>
      </w:pPr>
    </w:p>
    <w:p>
      <w:pPr>
        <w:ind w:firstLine="560" w:firstLineChars="200"/>
        <w:rPr>
          <w:rFonts w:ascii="仿宋" w:hAnsi="仿宋" w:eastAsia="仿宋" w:cs="仿宋_GB2312"/>
          <w:sz w:val="28"/>
          <w:szCs w:val="28"/>
        </w:rPr>
      </w:pPr>
    </w:p>
    <w:p>
      <w:pPr>
        <w:jc w:val="center"/>
        <w:rPr>
          <w:rFonts w:ascii="仿宋" w:hAnsi="仿宋" w:eastAsia="仿宋" w:cs="仿宋_GB2312"/>
          <w:b/>
          <w:sz w:val="36"/>
          <w:szCs w:val="36"/>
        </w:rPr>
      </w:pPr>
    </w:p>
    <w:p>
      <w:pPr>
        <w:jc w:val="center"/>
        <w:rPr>
          <w:rFonts w:ascii="仿宋" w:hAnsi="仿宋" w:eastAsia="仿宋" w:cs="仿宋_GB2312"/>
          <w:b/>
          <w:sz w:val="36"/>
          <w:szCs w:val="36"/>
        </w:rPr>
      </w:pPr>
      <w:r>
        <w:rPr>
          <w:rFonts w:hint="eastAsia" w:ascii="仿宋" w:hAnsi="仿宋" w:eastAsia="仿宋" w:cs="仿宋_GB2312"/>
          <w:b/>
          <w:sz w:val="36"/>
          <w:szCs w:val="36"/>
        </w:rPr>
        <w:t>三、投标人资格要求</w:t>
      </w:r>
    </w:p>
    <w:p>
      <w:pPr>
        <w:ind w:firstLine="560" w:firstLineChars="200"/>
        <w:rPr>
          <w:rFonts w:ascii="仿宋" w:hAnsi="仿宋" w:eastAsia="仿宋" w:cs="仿宋_GB2312"/>
          <w:sz w:val="28"/>
          <w:szCs w:val="28"/>
        </w:rPr>
      </w:pPr>
      <w:r>
        <w:rPr>
          <w:rFonts w:hint="eastAsia" w:ascii="仿宋" w:hAnsi="仿宋" w:eastAsia="仿宋" w:cs="仿宋_GB2312"/>
          <w:sz w:val="28"/>
          <w:szCs w:val="28"/>
        </w:rPr>
        <w:t>1、在中华人民共和国境内依法经国家工商、税务机关登记注册。</w:t>
      </w:r>
    </w:p>
    <w:p>
      <w:pPr>
        <w:ind w:firstLine="560" w:firstLineChars="200"/>
        <w:rPr>
          <w:rFonts w:ascii="仿宋" w:hAnsi="仿宋" w:eastAsia="仿宋" w:cs="仿宋_GB2312"/>
          <w:sz w:val="28"/>
          <w:szCs w:val="28"/>
        </w:rPr>
      </w:pPr>
      <w:r>
        <w:rPr>
          <w:rFonts w:hint="eastAsia" w:ascii="仿宋" w:hAnsi="仿宋" w:eastAsia="仿宋" w:cs="仿宋_GB2312"/>
          <w:sz w:val="28"/>
          <w:szCs w:val="28"/>
        </w:rPr>
        <w:t>2、投标人须为一般纳税人或小规模纳税人。</w:t>
      </w:r>
    </w:p>
    <w:p>
      <w:pPr>
        <w:ind w:firstLine="560" w:firstLineChars="200"/>
        <w:rPr>
          <w:rFonts w:ascii="仿宋" w:hAnsi="仿宋" w:eastAsia="仿宋" w:cs="仿宋_GB2312"/>
          <w:sz w:val="28"/>
          <w:szCs w:val="28"/>
        </w:rPr>
      </w:pPr>
      <w:r>
        <w:rPr>
          <w:rFonts w:hint="eastAsia" w:ascii="仿宋" w:hAnsi="仿宋" w:eastAsia="仿宋" w:cs="仿宋_GB2312"/>
          <w:sz w:val="28"/>
          <w:szCs w:val="28"/>
        </w:rPr>
        <w:t>3、投标人提供的相关资质证件均须在年审有效期内。</w:t>
      </w:r>
    </w:p>
    <w:p>
      <w:pPr>
        <w:ind w:firstLine="560" w:firstLineChars="200"/>
        <w:rPr>
          <w:rFonts w:ascii="仿宋" w:hAnsi="仿宋" w:eastAsia="仿宋" w:cs="仿宋_GB2312"/>
          <w:sz w:val="28"/>
          <w:szCs w:val="28"/>
        </w:rPr>
      </w:pPr>
      <w:r>
        <w:rPr>
          <w:rFonts w:hint="eastAsia" w:ascii="仿宋" w:hAnsi="仿宋" w:eastAsia="仿宋" w:cs="仿宋_GB2312"/>
          <w:sz w:val="28"/>
          <w:szCs w:val="28"/>
        </w:rPr>
        <w:t>4、投标人营业执照所列示的经营范围必须涵盖本次招标内容。</w:t>
      </w:r>
    </w:p>
    <w:p>
      <w:pPr>
        <w:ind w:firstLine="560" w:firstLineChars="200"/>
        <w:rPr>
          <w:rFonts w:ascii="仿宋" w:hAnsi="仿宋" w:eastAsia="仿宋" w:cs="仿宋_GB2312"/>
          <w:sz w:val="28"/>
          <w:szCs w:val="28"/>
        </w:rPr>
      </w:pPr>
      <w:r>
        <w:rPr>
          <w:rFonts w:hint="eastAsia" w:ascii="仿宋" w:hAnsi="仿宋" w:eastAsia="仿宋" w:cs="仿宋_GB2312"/>
          <w:sz w:val="28"/>
          <w:szCs w:val="28"/>
        </w:rPr>
        <w:t>5、有生产经营和安全许可要求的，必须有相应有效的许可证。</w:t>
      </w:r>
    </w:p>
    <w:p>
      <w:pPr>
        <w:ind w:firstLine="560" w:firstLineChars="200"/>
        <w:rPr>
          <w:rFonts w:ascii="仿宋" w:hAnsi="仿宋" w:eastAsia="仿宋" w:cs="仿宋_GB2312"/>
          <w:sz w:val="28"/>
          <w:szCs w:val="28"/>
        </w:rPr>
      </w:pPr>
      <w:r>
        <w:rPr>
          <w:rFonts w:hint="eastAsia" w:ascii="仿宋" w:hAnsi="仿宋" w:eastAsia="仿宋" w:cs="仿宋_GB2312"/>
          <w:sz w:val="28"/>
          <w:szCs w:val="28"/>
        </w:rPr>
        <w:t>6、投标人近三年无重大失信和违法、违纪行为等不良记录。</w:t>
      </w:r>
    </w:p>
    <w:p>
      <w:pPr>
        <w:rPr>
          <w:rFonts w:ascii="仿宋" w:hAnsi="仿宋" w:eastAsia="仿宋" w:cs="仿宋_GB2312"/>
          <w:b/>
          <w:sz w:val="36"/>
          <w:szCs w:val="36"/>
        </w:rPr>
      </w:pPr>
      <w:r>
        <w:rPr>
          <w:rFonts w:hint="eastAsia" w:ascii="仿宋" w:hAnsi="仿宋" w:eastAsia="仿宋" w:cs="仿宋_GB2312"/>
          <w:b/>
          <w:sz w:val="36"/>
          <w:szCs w:val="36"/>
        </w:rPr>
        <w:br w:type="page"/>
      </w:r>
    </w:p>
    <w:p>
      <w:pPr>
        <w:jc w:val="center"/>
        <w:rPr>
          <w:rFonts w:ascii="仿宋" w:hAnsi="仿宋" w:eastAsia="仿宋" w:cs="仿宋_GB2312"/>
          <w:b/>
          <w:sz w:val="36"/>
          <w:szCs w:val="36"/>
        </w:rPr>
      </w:pPr>
    </w:p>
    <w:p>
      <w:pPr>
        <w:jc w:val="center"/>
        <w:rPr>
          <w:rFonts w:ascii="仿宋" w:hAnsi="仿宋" w:eastAsia="仿宋" w:cs="仿宋_GB2312"/>
          <w:b/>
          <w:sz w:val="36"/>
          <w:szCs w:val="36"/>
        </w:rPr>
      </w:pPr>
      <w:r>
        <w:rPr>
          <w:rFonts w:hint="eastAsia" w:ascii="仿宋" w:hAnsi="仿宋" w:eastAsia="仿宋" w:cs="仿宋_GB2312"/>
          <w:b/>
          <w:sz w:val="36"/>
          <w:szCs w:val="36"/>
        </w:rPr>
        <w:t>四、招标公告发布的媒介及招标公告的获取</w:t>
      </w:r>
    </w:p>
    <w:p>
      <w:pPr>
        <w:ind w:firstLine="560" w:firstLineChars="200"/>
        <w:jc w:val="left"/>
        <w:rPr>
          <w:rFonts w:ascii="仿宋" w:hAnsi="仿宋" w:eastAsia="仿宋" w:cs="仿宋_GB2312"/>
          <w:sz w:val="28"/>
          <w:szCs w:val="28"/>
        </w:rPr>
      </w:pPr>
      <w:r>
        <w:rPr>
          <w:rFonts w:hint="eastAsia" w:ascii="仿宋" w:hAnsi="仿宋" w:eastAsia="仿宋" w:cs="仿宋_GB2312"/>
          <w:sz w:val="28"/>
          <w:szCs w:val="28"/>
        </w:rPr>
        <w:t>本次招标公告（包括后期如有对招标文件所作的澄清、修改等。）将在铜冠建筑安装股份有限公司网（http://www.tltgja.com.cn/）在线招标--机械运输招标上发布。招标公告请投标人自行下载。</w:t>
      </w:r>
    </w:p>
    <w:p>
      <w:pPr>
        <w:ind w:firstLine="560" w:firstLineChars="200"/>
        <w:rPr>
          <w:rFonts w:ascii="仿宋" w:hAnsi="仿宋" w:eastAsia="仿宋" w:cs="仿宋_GB2312"/>
          <w:sz w:val="28"/>
          <w:szCs w:val="28"/>
        </w:rPr>
      </w:pPr>
      <w:r>
        <w:rPr>
          <w:rFonts w:hint="eastAsia" w:ascii="仿宋" w:hAnsi="仿宋" w:eastAsia="仿宋" w:cs="仿宋_GB2312"/>
          <w:sz w:val="28"/>
          <w:szCs w:val="28"/>
        </w:rPr>
        <w:t>所有招标信息均以以上网站发布为准，其它任何形式的内容不作为招标投标以及开标评标的依据。</w:t>
      </w:r>
    </w:p>
    <w:p>
      <w:pPr>
        <w:rPr>
          <w:rFonts w:ascii="仿宋" w:hAnsi="仿宋" w:eastAsia="仿宋" w:cs="仿宋_GB2312"/>
          <w:b/>
          <w:sz w:val="36"/>
          <w:szCs w:val="36"/>
        </w:rPr>
      </w:pPr>
      <w:r>
        <w:rPr>
          <w:rFonts w:hint="eastAsia" w:ascii="仿宋" w:hAnsi="仿宋" w:eastAsia="仿宋" w:cs="仿宋_GB2312"/>
          <w:b/>
          <w:sz w:val="36"/>
          <w:szCs w:val="36"/>
        </w:rPr>
        <w:br w:type="page"/>
      </w:r>
    </w:p>
    <w:p>
      <w:pPr>
        <w:spacing w:before="312" w:beforeLines="100" w:after="156" w:afterLines="50"/>
        <w:jc w:val="center"/>
        <w:rPr>
          <w:rFonts w:ascii="仿宋" w:hAnsi="仿宋" w:eastAsia="仿宋" w:cs="仿宋_GB2312"/>
          <w:b/>
          <w:sz w:val="36"/>
          <w:szCs w:val="36"/>
        </w:rPr>
      </w:pPr>
    </w:p>
    <w:p>
      <w:pPr>
        <w:spacing w:before="312" w:beforeLines="100" w:after="156" w:afterLines="50"/>
        <w:jc w:val="center"/>
        <w:rPr>
          <w:rFonts w:ascii="仿宋" w:hAnsi="仿宋" w:eastAsia="仿宋" w:cs="仿宋_GB2312"/>
          <w:b/>
          <w:sz w:val="36"/>
          <w:szCs w:val="36"/>
        </w:rPr>
      </w:pPr>
      <w:r>
        <w:rPr>
          <w:rFonts w:hint="eastAsia" w:ascii="仿宋" w:hAnsi="仿宋" w:eastAsia="仿宋" w:cs="仿宋_GB2312"/>
          <w:b/>
          <w:sz w:val="36"/>
          <w:szCs w:val="36"/>
        </w:rPr>
        <w:t>五、投标报名</w:t>
      </w:r>
    </w:p>
    <w:p>
      <w:pPr>
        <w:ind w:firstLine="560" w:firstLineChars="200"/>
        <w:rPr>
          <w:rFonts w:ascii="仿宋" w:hAnsi="仿宋" w:eastAsia="仿宋" w:cs="仿宋_GB2312"/>
          <w:sz w:val="28"/>
          <w:szCs w:val="28"/>
        </w:rPr>
      </w:pPr>
      <w:r>
        <w:rPr>
          <w:rFonts w:hint="eastAsia" w:ascii="仿宋" w:hAnsi="仿宋" w:eastAsia="仿宋" w:cs="仿宋_GB2312"/>
          <w:sz w:val="28"/>
          <w:szCs w:val="28"/>
        </w:rPr>
        <w:t>1、各投标人需在报名截止时间之前至铜陵有色金属集团铜冠建筑安</w:t>
      </w:r>
      <w:r>
        <w:rPr>
          <w:rFonts w:hint="eastAsia" w:ascii="仿宋" w:hAnsi="仿宋" w:eastAsia="仿宋" w:cs="仿宋_GB2312"/>
          <w:sz w:val="28"/>
          <w:szCs w:val="28"/>
        </w:rPr>
        <w:br w:type="textWrapping"/>
      </w:r>
      <w:r>
        <w:rPr>
          <w:rFonts w:hint="eastAsia" w:ascii="仿宋" w:hAnsi="仿宋" w:eastAsia="仿宋" w:cs="仿宋_GB2312"/>
          <w:sz w:val="28"/>
          <w:szCs w:val="28"/>
        </w:rPr>
        <w:t>装股份有限公司报名。因投标人未在指定要求时间报名或未通过资格审</w:t>
      </w:r>
      <w:r>
        <w:rPr>
          <w:rFonts w:hint="eastAsia" w:ascii="仿宋" w:hAnsi="仿宋" w:eastAsia="仿宋" w:cs="仿宋_GB2312"/>
          <w:sz w:val="28"/>
          <w:szCs w:val="28"/>
        </w:rPr>
        <w:br w:type="textWrapping"/>
      </w:r>
      <w:r>
        <w:rPr>
          <w:rFonts w:hint="eastAsia" w:ascii="仿宋" w:hAnsi="仿宋" w:eastAsia="仿宋" w:cs="仿宋_GB2312"/>
          <w:sz w:val="28"/>
          <w:szCs w:val="28"/>
        </w:rPr>
        <w:t>查的视为无效投标。</w:t>
      </w:r>
      <w:r>
        <w:rPr>
          <w:rFonts w:hint="eastAsia" w:ascii="仿宋" w:hAnsi="仿宋" w:eastAsia="仿宋" w:cs="仿宋_GB2312"/>
          <w:sz w:val="28"/>
          <w:szCs w:val="28"/>
        </w:rPr>
        <w:br w:type="textWrapping"/>
      </w:r>
      <w:r>
        <w:rPr>
          <w:rFonts w:hint="eastAsia" w:ascii="仿宋" w:hAnsi="仿宋" w:eastAsia="仿宋" w:cs="仿宋_GB2312"/>
          <w:sz w:val="28"/>
          <w:szCs w:val="28"/>
        </w:rPr>
        <w:t xml:space="preserve">    2、报名时投标人需提供报名资料：营业执照副本复印件、法定代表</w:t>
      </w:r>
      <w:r>
        <w:rPr>
          <w:rFonts w:hint="eastAsia" w:ascii="仿宋" w:hAnsi="仿宋" w:eastAsia="仿宋" w:cs="仿宋_GB2312"/>
          <w:sz w:val="28"/>
          <w:szCs w:val="28"/>
        </w:rPr>
        <w:br w:type="textWrapping"/>
      </w:r>
      <w:r>
        <w:rPr>
          <w:rFonts w:hint="eastAsia" w:ascii="仿宋" w:hAnsi="仿宋" w:eastAsia="仿宋" w:cs="仿宋_GB2312"/>
          <w:sz w:val="28"/>
          <w:szCs w:val="28"/>
        </w:rPr>
        <w:t>人身份证复印件（经办人不是法定代表人的要提供法定代表人授权委托</w:t>
      </w:r>
      <w:r>
        <w:rPr>
          <w:rFonts w:hint="eastAsia" w:ascii="仿宋" w:hAnsi="仿宋" w:eastAsia="仿宋" w:cs="仿宋_GB2312"/>
          <w:sz w:val="28"/>
          <w:szCs w:val="28"/>
        </w:rPr>
        <w:br w:type="textWrapping"/>
      </w:r>
      <w:r>
        <w:rPr>
          <w:rFonts w:hint="eastAsia" w:ascii="仿宋" w:hAnsi="仿宋" w:eastAsia="仿宋" w:cs="仿宋_GB2312"/>
          <w:sz w:val="28"/>
          <w:szCs w:val="28"/>
        </w:rPr>
        <w:t>书、代理人身份证复印件）并加盖公章（原章）等资料。</w:t>
      </w:r>
      <w:r>
        <w:rPr>
          <w:rFonts w:hint="eastAsia" w:ascii="仿宋" w:hAnsi="仿宋" w:eastAsia="仿宋" w:cs="仿宋_GB2312"/>
          <w:sz w:val="28"/>
          <w:szCs w:val="28"/>
        </w:rPr>
        <w:br w:type="textWrapping"/>
      </w:r>
      <w:r>
        <w:rPr>
          <w:rFonts w:hint="eastAsia" w:ascii="仿宋" w:hAnsi="仿宋" w:eastAsia="仿宋" w:cs="仿宋_GB2312"/>
          <w:sz w:val="28"/>
          <w:szCs w:val="28"/>
        </w:rPr>
        <w:t xml:space="preserve">    3、报名自招标公告发布之日起至2023年11月22日</w:t>
      </w:r>
      <w:r>
        <w:rPr>
          <w:rFonts w:hint="eastAsia" w:ascii="仿宋" w:hAnsi="仿宋" w:eastAsia="仿宋" w:cs="仿宋_GB2312"/>
          <w:sz w:val="28"/>
          <w:szCs w:val="28"/>
          <w:highlight w:val="yellow"/>
        </w:rPr>
        <w:t>1</w:t>
      </w:r>
      <w:r>
        <w:rPr>
          <w:rFonts w:hint="default" w:ascii="仿宋" w:hAnsi="仿宋" w:eastAsia="仿宋" w:cs="仿宋_GB2312"/>
          <w:sz w:val="28"/>
          <w:szCs w:val="28"/>
          <w:highlight w:val="yellow"/>
        </w:rPr>
        <w:t>2</w:t>
      </w:r>
      <w:r>
        <w:rPr>
          <w:rFonts w:hint="eastAsia" w:ascii="仿宋" w:hAnsi="仿宋" w:eastAsia="仿宋" w:cs="仿宋_GB2312"/>
          <w:sz w:val="28"/>
          <w:szCs w:val="28"/>
          <w:highlight w:val="yellow"/>
        </w:rPr>
        <w:t>:00</w:t>
      </w:r>
      <w:r>
        <w:rPr>
          <w:rFonts w:hint="eastAsia" w:ascii="仿宋" w:hAnsi="仿宋" w:eastAsia="仿宋" w:cs="仿宋_GB2312"/>
          <w:sz w:val="28"/>
          <w:szCs w:val="28"/>
        </w:rPr>
        <w:t>止</w:t>
      </w:r>
      <w:r>
        <w:rPr>
          <w:rFonts w:hint="eastAsia" w:ascii="仿宋" w:hAnsi="仿宋" w:eastAsia="仿宋" w:cs="仿宋_GB2312"/>
          <w:sz w:val="28"/>
          <w:szCs w:val="28"/>
        </w:rPr>
        <w:br w:type="textWrapping"/>
      </w:r>
      <w:r>
        <w:rPr>
          <w:rFonts w:hint="eastAsia" w:ascii="仿宋" w:hAnsi="仿宋" w:eastAsia="仿宋" w:cs="仿宋_GB2312"/>
          <w:sz w:val="28"/>
          <w:szCs w:val="28"/>
        </w:rPr>
        <w:t xml:space="preserve">    4、报名地点：铜陵有色建安钢构有限责任公司综合部（铜陵市翠湖三路老家酒业斜对面）</w:t>
      </w:r>
      <w:r>
        <w:rPr>
          <w:rFonts w:hint="eastAsia" w:ascii="仿宋" w:hAnsi="仿宋" w:eastAsia="仿宋" w:cs="仿宋_GB2312"/>
          <w:sz w:val="28"/>
          <w:szCs w:val="28"/>
        </w:rPr>
        <w:br w:type="textWrapping"/>
      </w:r>
      <w:r>
        <w:rPr>
          <w:rFonts w:hint="eastAsia" w:ascii="仿宋" w:hAnsi="仿宋" w:eastAsia="仿宋" w:cs="仿宋_GB2312"/>
          <w:sz w:val="28"/>
          <w:szCs w:val="28"/>
        </w:rPr>
        <w:t xml:space="preserve">    5、联系人：李晓会（18856237080）</w:t>
      </w:r>
    </w:p>
    <w:p>
      <w:pPr>
        <w:rPr>
          <w:rFonts w:ascii="仿宋" w:hAnsi="仿宋" w:eastAsia="仿宋" w:cs="仿宋_GB2312"/>
          <w:b/>
          <w:sz w:val="36"/>
          <w:szCs w:val="36"/>
        </w:rPr>
      </w:pPr>
      <w:r>
        <w:rPr>
          <w:rFonts w:hint="eastAsia" w:ascii="仿宋" w:hAnsi="仿宋" w:eastAsia="仿宋" w:cs="仿宋_GB2312"/>
          <w:b/>
          <w:sz w:val="36"/>
          <w:szCs w:val="36"/>
        </w:rPr>
        <w:br w:type="page"/>
      </w:r>
    </w:p>
    <w:p>
      <w:pPr>
        <w:spacing w:before="312" w:beforeLines="100" w:after="156" w:afterLines="50"/>
        <w:jc w:val="center"/>
        <w:rPr>
          <w:rFonts w:ascii="仿宋" w:hAnsi="仿宋" w:eastAsia="仿宋" w:cs="仿宋_GB2312"/>
          <w:b/>
          <w:sz w:val="36"/>
          <w:szCs w:val="36"/>
        </w:rPr>
      </w:pPr>
    </w:p>
    <w:p>
      <w:pPr>
        <w:spacing w:before="312" w:beforeLines="100" w:after="156" w:afterLines="50"/>
        <w:jc w:val="center"/>
        <w:rPr>
          <w:rFonts w:ascii="仿宋" w:hAnsi="仿宋" w:eastAsia="仿宋" w:cs="仿宋_GB2312"/>
          <w:b/>
          <w:sz w:val="36"/>
          <w:szCs w:val="36"/>
        </w:rPr>
      </w:pPr>
      <w:r>
        <w:rPr>
          <w:rFonts w:hint="eastAsia" w:ascii="仿宋" w:hAnsi="仿宋" w:eastAsia="仿宋" w:cs="仿宋_GB2312"/>
          <w:b/>
          <w:sz w:val="36"/>
          <w:szCs w:val="36"/>
        </w:rPr>
        <w:t>六、 投标文件的递交</w:t>
      </w:r>
    </w:p>
    <w:p>
      <w:pPr>
        <w:ind w:firstLine="560" w:firstLineChars="200"/>
        <w:rPr>
          <w:rFonts w:ascii="仿宋" w:hAnsi="仿宋" w:eastAsia="仿宋" w:cs="仿宋_GB2312"/>
          <w:sz w:val="28"/>
          <w:szCs w:val="28"/>
          <w:u w:val="single"/>
        </w:rPr>
      </w:pPr>
      <w:r>
        <w:rPr>
          <w:rFonts w:hint="eastAsia" w:ascii="仿宋" w:hAnsi="仿宋" w:eastAsia="仿宋" w:cs="仿宋_GB2312"/>
          <w:sz w:val="28"/>
          <w:szCs w:val="28"/>
        </w:rPr>
        <w:t>1、投标文件递交的截止时间：</w:t>
      </w:r>
      <w:r>
        <w:rPr>
          <w:rFonts w:hint="eastAsia" w:ascii="仿宋" w:hAnsi="仿宋" w:eastAsia="仿宋" w:cs="仿宋_GB2312"/>
          <w:sz w:val="28"/>
          <w:szCs w:val="28"/>
          <w:u w:val="single"/>
        </w:rPr>
        <w:t>2023年11月23日9:00</w:t>
      </w:r>
    </w:p>
    <w:p>
      <w:pPr>
        <w:ind w:firstLine="560" w:firstLineChars="200"/>
        <w:rPr>
          <w:rFonts w:ascii="仿宋" w:hAnsi="仿宋" w:eastAsia="仿宋" w:cs="仿宋_GB2312"/>
          <w:sz w:val="28"/>
          <w:szCs w:val="28"/>
          <w:u w:val="single"/>
        </w:rPr>
      </w:pPr>
      <w:r>
        <w:rPr>
          <w:rFonts w:hint="eastAsia" w:ascii="仿宋" w:hAnsi="仿宋" w:eastAsia="仿宋" w:cs="仿宋_GB2312"/>
          <w:sz w:val="28"/>
          <w:szCs w:val="28"/>
        </w:rPr>
        <w:t>2、投标文件递交地点：</w:t>
      </w:r>
      <w:r>
        <w:rPr>
          <w:rFonts w:hint="eastAsia" w:ascii="仿宋" w:hAnsi="仿宋" w:eastAsia="仿宋" w:cs="仿宋_GB2312"/>
          <w:sz w:val="28"/>
          <w:szCs w:val="28"/>
          <w:u w:val="single"/>
        </w:rPr>
        <w:t>铜陵有色金属集团铜冠建筑安装股份有限公司经营部（翠湖三路老家酒业斜对面）</w:t>
      </w:r>
    </w:p>
    <w:p>
      <w:pPr>
        <w:ind w:firstLine="560" w:firstLineChars="200"/>
        <w:rPr>
          <w:rFonts w:ascii="仿宋" w:hAnsi="仿宋" w:eastAsia="仿宋" w:cs="仿宋_GB2312"/>
          <w:sz w:val="28"/>
          <w:szCs w:val="28"/>
          <w:u w:val="single"/>
        </w:rPr>
      </w:pPr>
      <w:r>
        <w:rPr>
          <w:rFonts w:hint="eastAsia" w:ascii="仿宋" w:hAnsi="仿宋" w:eastAsia="仿宋" w:cs="仿宋_GB2312"/>
          <w:sz w:val="28"/>
          <w:szCs w:val="28"/>
        </w:rPr>
        <w:t>3、投标文件收件人：</w:t>
      </w:r>
      <w:r>
        <w:rPr>
          <w:rFonts w:hint="eastAsia" w:ascii="仿宋" w:hAnsi="仿宋" w:eastAsia="仿宋" w:cs="仿宋_GB2312"/>
          <w:sz w:val="28"/>
          <w:szCs w:val="28"/>
          <w:u w:val="single"/>
        </w:rPr>
        <w:t>黄赟（18656211500）</w:t>
      </w:r>
    </w:p>
    <w:p>
      <w:pPr>
        <w:ind w:firstLine="560" w:firstLineChars="200"/>
        <w:rPr>
          <w:rFonts w:ascii="仿宋" w:hAnsi="仿宋" w:eastAsia="仿宋" w:cs="仿宋_GB2312"/>
          <w:sz w:val="28"/>
          <w:szCs w:val="28"/>
        </w:rPr>
      </w:pPr>
      <w:r>
        <w:rPr>
          <w:rFonts w:hint="eastAsia" w:ascii="仿宋" w:hAnsi="仿宋" w:eastAsia="仿宋" w:cs="仿宋_GB2312"/>
          <w:sz w:val="28"/>
          <w:szCs w:val="28"/>
        </w:rPr>
        <w:t>4、逾期送达的或未按规定送达指定地点的投标文件，招标人不予受理。</w:t>
      </w:r>
    </w:p>
    <w:p>
      <w:pPr>
        <w:spacing w:before="156" w:beforeLines="50" w:after="156" w:afterLines="50"/>
        <w:rPr>
          <w:rFonts w:ascii="仿宋" w:hAnsi="仿宋" w:eastAsia="仿宋" w:cs="仿宋_GB2312"/>
          <w:b/>
          <w:sz w:val="36"/>
          <w:szCs w:val="36"/>
        </w:rPr>
      </w:pPr>
    </w:p>
    <w:p>
      <w:pPr>
        <w:spacing w:before="312" w:beforeLines="100" w:after="156" w:afterLines="50"/>
        <w:jc w:val="center"/>
        <w:rPr>
          <w:rFonts w:ascii="仿宋" w:hAnsi="仿宋" w:eastAsia="仿宋" w:cs="仿宋_GB2312"/>
          <w:b/>
          <w:sz w:val="36"/>
          <w:szCs w:val="36"/>
        </w:rPr>
      </w:pPr>
    </w:p>
    <w:p>
      <w:pPr>
        <w:rPr>
          <w:rFonts w:ascii="仿宋" w:hAnsi="仿宋" w:eastAsia="仿宋" w:cs="仿宋_GB2312"/>
          <w:b/>
          <w:sz w:val="36"/>
          <w:szCs w:val="36"/>
        </w:rPr>
      </w:pPr>
      <w:r>
        <w:rPr>
          <w:rFonts w:hint="eastAsia" w:ascii="仿宋" w:hAnsi="仿宋" w:eastAsia="仿宋" w:cs="仿宋_GB2312"/>
          <w:b/>
          <w:sz w:val="36"/>
          <w:szCs w:val="36"/>
        </w:rPr>
        <w:br w:type="page"/>
      </w:r>
    </w:p>
    <w:p>
      <w:pPr>
        <w:spacing w:before="312" w:beforeLines="100" w:after="156" w:afterLines="50"/>
        <w:jc w:val="center"/>
        <w:rPr>
          <w:rFonts w:ascii="仿宋" w:hAnsi="仿宋" w:eastAsia="仿宋" w:cs="仿宋_GB2312"/>
          <w:b/>
          <w:sz w:val="36"/>
          <w:szCs w:val="36"/>
        </w:rPr>
      </w:pPr>
    </w:p>
    <w:p>
      <w:pPr>
        <w:spacing w:before="312" w:beforeLines="100" w:after="156" w:afterLines="50"/>
        <w:jc w:val="center"/>
        <w:rPr>
          <w:rFonts w:ascii="仿宋" w:hAnsi="仿宋" w:eastAsia="仿宋" w:cs="仿宋_GB2312"/>
          <w:b/>
          <w:sz w:val="36"/>
          <w:szCs w:val="36"/>
        </w:rPr>
      </w:pPr>
      <w:r>
        <w:rPr>
          <w:rFonts w:hint="eastAsia" w:ascii="仿宋" w:hAnsi="仿宋" w:eastAsia="仿宋" w:cs="仿宋_GB2312"/>
          <w:b/>
          <w:sz w:val="36"/>
          <w:szCs w:val="36"/>
        </w:rPr>
        <w:t>七、投标人须知</w:t>
      </w:r>
    </w:p>
    <w:p>
      <w:pPr>
        <w:ind w:firstLine="638" w:firstLineChars="228"/>
        <w:rPr>
          <w:rFonts w:ascii="仿宋" w:hAnsi="仿宋" w:eastAsia="仿宋" w:cs="仿宋_GB2312"/>
          <w:sz w:val="28"/>
          <w:szCs w:val="28"/>
        </w:rPr>
      </w:pPr>
      <w:r>
        <w:rPr>
          <w:rFonts w:hint="eastAsia" w:ascii="仿宋" w:hAnsi="仿宋" w:eastAsia="仿宋" w:cs="仿宋_GB2312"/>
          <w:sz w:val="28"/>
          <w:szCs w:val="28"/>
        </w:rPr>
        <w:t>（1）投标人如若中标，提供的产品必须符合效果图要求。</w:t>
      </w:r>
    </w:p>
    <w:p>
      <w:pPr>
        <w:ind w:firstLine="638" w:firstLineChars="228"/>
        <w:rPr>
          <w:rFonts w:ascii="仿宋" w:hAnsi="仿宋" w:eastAsia="仿宋" w:cs="仿宋_GB2312"/>
          <w:sz w:val="28"/>
          <w:szCs w:val="28"/>
        </w:rPr>
      </w:pPr>
      <w:r>
        <w:rPr>
          <w:rFonts w:hint="eastAsia" w:ascii="仿宋" w:hAnsi="仿宋" w:eastAsia="仿宋" w:cs="仿宋_GB2312"/>
          <w:sz w:val="28"/>
          <w:szCs w:val="28"/>
        </w:rPr>
        <w:t>（2）若达不到招标人要求的，中标人无条件将该物品拉回且不计货款。</w:t>
      </w:r>
    </w:p>
    <w:p>
      <w:pPr>
        <w:ind w:firstLine="638" w:firstLineChars="228"/>
        <w:rPr>
          <w:rFonts w:ascii="仿宋" w:hAnsi="仿宋" w:eastAsia="仿宋" w:cs="仿宋_GB2312"/>
          <w:sz w:val="28"/>
          <w:szCs w:val="28"/>
          <w:u w:val="single"/>
        </w:rPr>
      </w:pPr>
      <w:r>
        <w:rPr>
          <w:rFonts w:hint="eastAsia" w:ascii="仿宋" w:hAnsi="仿宋" w:eastAsia="仿宋" w:cs="仿宋_GB2312"/>
          <w:sz w:val="28"/>
          <w:szCs w:val="28"/>
        </w:rPr>
        <w:t>（3）</w:t>
      </w:r>
      <w:r>
        <w:rPr>
          <w:rFonts w:hint="eastAsia" w:ascii="仿宋" w:hAnsi="仿宋" w:eastAsia="仿宋" w:cs="仿宋_GB2312"/>
          <w:b/>
          <w:bCs/>
          <w:sz w:val="28"/>
          <w:szCs w:val="28"/>
          <w:u w:val="single"/>
        </w:rPr>
        <w:t>报价为含税（税率必须注明）、含运费（至安徽铜陵指定地点）。</w:t>
      </w:r>
    </w:p>
    <w:p>
      <w:pPr>
        <w:ind w:firstLine="638" w:firstLineChars="228"/>
        <w:rPr>
          <w:rFonts w:ascii="仿宋" w:hAnsi="仿宋" w:eastAsia="仿宋" w:cs="仿宋_GB2312"/>
          <w:sz w:val="28"/>
          <w:szCs w:val="28"/>
        </w:rPr>
      </w:pPr>
      <w:r>
        <w:rPr>
          <w:rFonts w:hint="eastAsia" w:ascii="仿宋" w:hAnsi="仿宋" w:eastAsia="仿宋" w:cs="仿宋_GB2312"/>
          <w:sz w:val="28"/>
          <w:szCs w:val="28"/>
        </w:rPr>
        <w:t>（4）各投标单位在投标报价前应仔细审阅招标公告、报价表及报价说明等与此次报价相关的所有资料。报价要谨慎，一旦中标，视为理解并考虑了我公司一切要求的报价，不得以任何理由变更。</w:t>
      </w:r>
    </w:p>
    <w:p>
      <w:pPr>
        <w:ind w:firstLine="565" w:firstLineChars="202"/>
        <w:rPr>
          <w:rFonts w:ascii="仿宋" w:hAnsi="仿宋" w:eastAsia="仿宋" w:cs="仿宋_GB2312"/>
          <w:sz w:val="28"/>
          <w:szCs w:val="28"/>
        </w:rPr>
      </w:pPr>
      <w:r>
        <w:rPr>
          <w:rFonts w:hint="eastAsia" w:ascii="仿宋" w:hAnsi="仿宋" w:eastAsia="仿宋" w:cs="仿宋_GB2312"/>
          <w:sz w:val="28"/>
          <w:szCs w:val="28"/>
        </w:rPr>
        <w:t>（5）投标人法定代表人应在报价单相应位置签字及加盖公章，如经办人不是法人代表，须提供本人身份证复印件、法人身份证复印件及有法人代表签字的《法人代表授权书》并加盖公章作为投标资料的一部分。以上事项不符合要求的视为无效投标。</w:t>
      </w:r>
    </w:p>
    <w:p>
      <w:pPr>
        <w:ind w:firstLine="565" w:firstLineChars="202"/>
        <w:rPr>
          <w:rFonts w:ascii="仿宋" w:hAnsi="仿宋" w:eastAsia="仿宋" w:cs="仿宋_GB2312"/>
          <w:sz w:val="28"/>
          <w:szCs w:val="28"/>
        </w:rPr>
      </w:pPr>
      <w:r>
        <w:rPr>
          <w:rFonts w:hint="eastAsia" w:ascii="仿宋" w:hAnsi="仿宋" w:eastAsia="仿宋" w:cs="仿宋_GB2312"/>
          <w:sz w:val="28"/>
          <w:szCs w:val="28"/>
        </w:rPr>
        <w:t>（6）投标文件密封袋封口处应密封完整，加盖投标单位公章，并且注明招标编号及设备名称。因投标人制作、密封、寄送报价文件不符合要求的视为无效投标。</w:t>
      </w:r>
    </w:p>
    <w:p>
      <w:pPr>
        <w:ind w:firstLine="565" w:firstLineChars="202"/>
        <w:rPr>
          <w:rFonts w:ascii="仿宋" w:hAnsi="仿宋" w:eastAsia="仿宋" w:cs="仿宋_GB2312"/>
          <w:sz w:val="28"/>
          <w:szCs w:val="28"/>
        </w:rPr>
      </w:pPr>
      <w:r>
        <w:rPr>
          <w:rFonts w:hint="eastAsia" w:ascii="仿宋" w:hAnsi="仿宋" w:eastAsia="仿宋" w:cs="仿宋_GB2312"/>
          <w:sz w:val="28"/>
          <w:szCs w:val="28"/>
        </w:rPr>
        <w:t>（7）投标人首次投标时需提供加盖公章的营业执照副本的复印件及其它资质资料。</w:t>
      </w:r>
    </w:p>
    <w:p>
      <w:pPr>
        <w:ind w:firstLine="566" w:firstLineChars="202"/>
        <w:rPr>
          <w:rFonts w:ascii="仿宋" w:hAnsi="仿宋" w:eastAsia="仿宋" w:cs="仿宋_GB2312"/>
          <w:b/>
          <w:bCs/>
          <w:sz w:val="28"/>
          <w:szCs w:val="28"/>
        </w:rPr>
      </w:pPr>
      <w:r>
        <w:rPr>
          <w:rFonts w:hint="eastAsia" w:ascii="仿宋" w:hAnsi="仿宋" w:eastAsia="仿宋" w:cs="仿宋_GB2312"/>
          <w:b/>
          <w:bCs/>
          <w:sz w:val="28"/>
          <w:szCs w:val="28"/>
        </w:rPr>
        <w:t>（8）货款支付方式：货物交付并经买方确认交割数量和外观质量无昇议后，卖方向买方开具符合法律规定的 1％增值税发票。如卖方开具的发票不符合法律规定，则买方有权拒付相应部分货款。买方办理收到发票后60日内支付合同总额90%货款，余10%货款质保期到期后一次性付清。</w:t>
      </w:r>
    </w:p>
    <w:p>
      <w:pPr>
        <w:ind w:firstLine="721" w:firstLineChars="200"/>
        <w:rPr>
          <w:rFonts w:ascii="仿宋" w:hAnsi="仿宋" w:eastAsia="仿宋" w:cs="仿宋_GB2312"/>
          <w:b/>
          <w:sz w:val="36"/>
          <w:szCs w:val="36"/>
        </w:rPr>
      </w:pPr>
      <w:r>
        <w:rPr>
          <w:rFonts w:hint="eastAsia" w:ascii="仿宋" w:hAnsi="仿宋" w:eastAsia="仿宋" w:cs="仿宋_GB2312"/>
          <w:b/>
          <w:sz w:val="36"/>
          <w:szCs w:val="36"/>
        </w:rPr>
        <w:br w:type="page"/>
      </w:r>
      <w:r>
        <w:rPr>
          <w:rFonts w:hint="eastAsia" w:ascii="仿宋" w:hAnsi="仿宋" w:eastAsia="仿宋" w:cs="仿宋_GB2312"/>
          <w:b/>
          <w:sz w:val="36"/>
          <w:szCs w:val="36"/>
        </w:rPr>
        <w:t>八、评标及中标履约要求</w:t>
      </w:r>
    </w:p>
    <w:p>
      <w:pPr>
        <w:spacing w:line="600" w:lineRule="exact"/>
        <w:ind w:firstLine="560" w:firstLineChars="200"/>
        <w:rPr>
          <w:rFonts w:ascii="仿宋" w:hAnsi="仿宋" w:eastAsia="仿宋" w:cs="仿宋_GB2312"/>
          <w:sz w:val="28"/>
          <w:szCs w:val="28"/>
        </w:rPr>
      </w:pPr>
      <w:r>
        <w:rPr>
          <w:rFonts w:hint="eastAsia" w:ascii="仿宋" w:hAnsi="仿宋" w:eastAsia="仿宋" w:cs="仿宋_GB2312"/>
          <w:sz w:val="28"/>
          <w:szCs w:val="28"/>
        </w:rPr>
        <w:t>1、评标由审计监察室随机临时确定评委并组建的评标委员会负责。</w:t>
      </w:r>
    </w:p>
    <w:p>
      <w:pPr>
        <w:spacing w:line="600" w:lineRule="exact"/>
        <w:ind w:firstLine="560" w:firstLineChars="200"/>
        <w:rPr>
          <w:rFonts w:ascii="仿宋" w:hAnsi="仿宋" w:eastAsia="仿宋" w:cs="仿宋_GB2312"/>
          <w:sz w:val="28"/>
          <w:szCs w:val="28"/>
        </w:rPr>
      </w:pPr>
      <w:r>
        <w:rPr>
          <w:rFonts w:hint="eastAsia" w:ascii="仿宋" w:hAnsi="仿宋" w:eastAsia="仿宋" w:cs="仿宋_GB2312"/>
          <w:sz w:val="28"/>
          <w:szCs w:val="28"/>
        </w:rPr>
        <w:t>2、评标原则：评标活动遵循公平、公正、科学和择优的原则。</w:t>
      </w:r>
    </w:p>
    <w:p>
      <w:pPr>
        <w:spacing w:line="600" w:lineRule="exact"/>
        <w:ind w:firstLine="560" w:firstLineChars="200"/>
        <w:rPr>
          <w:rFonts w:ascii="仿宋" w:hAnsi="仿宋" w:eastAsia="仿宋" w:cs="仿宋_GB2312"/>
          <w:sz w:val="28"/>
          <w:szCs w:val="28"/>
          <w:u w:val="single"/>
        </w:rPr>
      </w:pPr>
      <w:r>
        <w:rPr>
          <w:rFonts w:hint="eastAsia" w:ascii="仿宋" w:hAnsi="仿宋" w:eastAsia="仿宋" w:cs="仿宋_GB2312"/>
          <w:sz w:val="28"/>
          <w:szCs w:val="28"/>
        </w:rPr>
        <w:t>3、评标：</w:t>
      </w:r>
      <w:r>
        <w:rPr>
          <w:rFonts w:hint="eastAsia" w:ascii="仿宋" w:hAnsi="仿宋" w:eastAsia="仿宋" w:cs="仿宋_GB2312"/>
          <w:sz w:val="28"/>
          <w:szCs w:val="28"/>
          <w:u w:val="single"/>
        </w:rPr>
        <w:t>本次评标以价格为评标依据，采取“合理低价法”评标。即以经评委会审核，剔除偏离市场行情较大的恶意报价后的报价进行排序，其中价格最低的报价单位为预中标单位。</w:t>
      </w:r>
    </w:p>
    <w:p>
      <w:pPr>
        <w:spacing w:line="600" w:lineRule="exact"/>
        <w:ind w:firstLine="560" w:firstLineChars="200"/>
        <w:rPr>
          <w:rFonts w:ascii="仿宋" w:hAnsi="仿宋" w:eastAsia="仿宋" w:cs="仿宋_GB2312"/>
          <w:sz w:val="28"/>
          <w:szCs w:val="28"/>
          <w:u w:val="single"/>
        </w:rPr>
      </w:pPr>
      <w:r>
        <w:rPr>
          <w:rFonts w:hint="eastAsia" w:ascii="仿宋" w:hAnsi="仿宋" w:eastAsia="仿宋" w:cs="仿宋_GB2312"/>
          <w:sz w:val="28"/>
          <w:szCs w:val="28"/>
        </w:rPr>
        <w:t>4、中标候选人推荐：</w:t>
      </w:r>
      <w:r>
        <w:rPr>
          <w:rFonts w:hint="eastAsia" w:ascii="仿宋" w:hAnsi="仿宋" w:eastAsia="仿宋" w:cs="仿宋_GB2312"/>
          <w:sz w:val="28"/>
          <w:szCs w:val="28"/>
          <w:u w:val="single"/>
        </w:rPr>
        <w:t>评标委员会依据评标结果推荐一名中标候选人。</w:t>
      </w:r>
    </w:p>
    <w:p>
      <w:pPr>
        <w:spacing w:line="600" w:lineRule="exact"/>
        <w:ind w:firstLine="560" w:firstLineChars="200"/>
        <w:rPr>
          <w:rFonts w:ascii="仿宋" w:hAnsi="仿宋" w:eastAsia="仿宋" w:cs="仿宋_GB2312"/>
          <w:sz w:val="28"/>
          <w:szCs w:val="28"/>
        </w:rPr>
      </w:pPr>
      <w:r>
        <w:rPr>
          <w:rFonts w:hint="eastAsia" w:ascii="仿宋" w:hAnsi="仿宋" w:eastAsia="仿宋" w:cs="仿宋_GB2312"/>
          <w:sz w:val="28"/>
          <w:szCs w:val="28"/>
        </w:rPr>
        <w:t>5、中标通知：招标人以书面形式向中标人发出中标通知书。</w:t>
      </w:r>
    </w:p>
    <w:p>
      <w:pPr>
        <w:spacing w:line="600" w:lineRule="exact"/>
        <w:ind w:firstLine="560" w:firstLineChars="200"/>
        <w:rPr>
          <w:rFonts w:ascii="仿宋" w:hAnsi="仿宋" w:eastAsia="仿宋" w:cs="仿宋_GB2312"/>
          <w:sz w:val="28"/>
          <w:szCs w:val="28"/>
        </w:rPr>
      </w:pPr>
      <w:r>
        <w:rPr>
          <w:rFonts w:hint="eastAsia" w:ascii="仿宋" w:hAnsi="仿宋" w:eastAsia="仿宋" w:cs="仿宋_GB2312"/>
          <w:sz w:val="28"/>
          <w:szCs w:val="28"/>
        </w:rPr>
        <w:t>6、招标人和中标人应当自中标通知书发出之日起三十日内，按照招标文件和中标人的投标文件订立书面合同，招标人和中标人不得再行订立背离本次招标实质性内容的其他协议。</w:t>
      </w:r>
    </w:p>
    <w:p>
      <w:pPr>
        <w:rPr>
          <w:rFonts w:ascii="仿宋" w:hAnsi="仿宋" w:eastAsia="仿宋" w:cs="仿宋_GB2312"/>
          <w:b/>
          <w:sz w:val="36"/>
          <w:szCs w:val="36"/>
        </w:rPr>
      </w:pPr>
      <w:r>
        <w:rPr>
          <w:rFonts w:hint="eastAsia" w:ascii="仿宋" w:hAnsi="仿宋" w:eastAsia="仿宋" w:cs="仿宋_GB2312"/>
          <w:b/>
          <w:sz w:val="36"/>
          <w:szCs w:val="36"/>
        </w:rPr>
        <w:br w:type="page"/>
      </w:r>
    </w:p>
    <w:p>
      <w:pPr>
        <w:spacing w:before="312" w:beforeLines="100" w:after="156" w:afterLines="50"/>
        <w:jc w:val="center"/>
        <w:rPr>
          <w:rFonts w:ascii="仿宋" w:hAnsi="仿宋" w:eastAsia="仿宋" w:cs="仿宋_GB2312"/>
          <w:b/>
          <w:sz w:val="36"/>
          <w:szCs w:val="36"/>
        </w:rPr>
      </w:pPr>
    </w:p>
    <w:p>
      <w:pPr>
        <w:spacing w:before="312" w:beforeLines="100" w:after="156" w:afterLines="50"/>
        <w:jc w:val="center"/>
        <w:rPr>
          <w:rFonts w:ascii="仿宋" w:hAnsi="仿宋" w:eastAsia="仿宋" w:cs="仿宋_GB2312"/>
          <w:b/>
          <w:sz w:val="36"/>
          <w:szCs w:val="36"/>
        </w:rPr>
      </w:pPr>
      <w:r>
        <w:rPr>
          <w:rFonts w:hint="eastAsia" w:ascii="仿宋" w:hAnsi="仿宋" w:eastAsia="仿宋" w:cs="仿宋_GB2312"/>
          <w:b/>
          <w:sz w:val="36"/>
          <w:szCs w:val="36"/>
        </w:rPr>
        <w:t>九、纪律和监督</w:t>
      </w:r>
    </w:p>
    <w:p>
      <w:pPr>
        <w:spacing w:line="600" w:lineRule="exact"/>
        <w:ind w:firstLine="560" w:firstLineChars="200"/>
        <w:rPr>
          <w:rFonts w:ascii="仿宋" w:hAnsi="仿宋" w:eastAsia="仿宋" w:cs="仿宋_GB2312"/>
          <w:sz w:val="28"/>
          <w:szCs w:val="28"/>
        </w:rPr>
      </w:pPr>
      <w:r>
        <w:rPr>
          <w:rFonts w:hint="eastAsia" w:ascii="仿宋" w:hAnsi="仿宋" w:eastAsia="仿宋" w:cs="仿宋_GB2312"/>
          <w:sz w:val="28"/>
          <w:szCs w:val="28"/>
        </w:rPr>
        <w:t>1、对招标人的纪律要求：招标人不得泄漏招标投标活动中应当保密的情况和资料，不得与投标人串通损害公司利益或者他人合法权益。</w:t>
      </w:r>
    </w:p>
    <w:p>
      <w:pPr>
        <w:spacing w:line="600" w:lineRule="exact"/>
        <w:ind w:firstLine="560" w:firstLineChars="200"/>
        <w:rPr>
          <w:rFonts w:ascii="仿宋" w:hAnsi="仿宋" w:eastAsia="仿宋" w:cs="仿宋_GB2312"/>
          <w:sz w:val="28"/>
          <w:szCs w:val="28"/>
          <w:u w:val="single"/>
        </w:rPr>
      </w:pPr>
      <w:r>
        <w:rPr>
          <w:rFonts w:hint="eastAsia" w:ascii="仿宋" w:hAnsi="仿宋" w:eastAsia="仿宋" w:cs="仿宋_GB2312"/>
          <w:sz w:val="28"/>
          <w:szCs w:val="28"/>
        </w:rPr>
        <w:t>2、对投标人的纪律要求：投标人不得相互串通投标或者与招标人串通投标，不得向招标人或者评标委员会成员行贿谋取中标，不得以他人名义投标或者以其他方式弄虚作假骗取中标；投标人不得以任何方式干扰、影响评标工作。投标人有上述行为的，</w:t>
      </w:r>
      <w:r>
        <w:rPr>
          <w:rFonts w:hint="eastAsia" w:ascii="仿宋" w:hAnsi="仿宋" w:eastAsia="仿宋" w:cs="仿宋_GB2312"/>
          <w:sz w:val="28"/>
          <w:szCs w:val="28"/>
          <w:u w:val="single"/>
        </w:rPr>
        <w:t>一经确认将取消其今后参加我公司招标的资格，列入供应商黑名单。</w:t>
      </w:r>
    </w:p>
    <w:p>
      <w:pPr>
        <w:spacing w:line="600" w:lineRule="exact"/>
        <w:ind w:firstLine="560" w:firstLineChars="200"/>
        <w:rPr>
          <w:rFonts w:ascii="仿宋" w:hAnsi="仿宋" w:eastAsia="仿宋" w:cs="仿宋_GB2312"/>
          <w:sz w:val="28"/>
          <w:szCs w:val="28"/>
          <w:u w:val="single"/>
        </w:rPr>
      </w:pPr>
    </w:p>
    <w:p>
      <w:pPr>
        <w:widowControl/>
        <w:jc w:val="left"/>
        <w:rPr>
          <w:rFonts w:ascii="仿宋" w:hAnsi="仿宋" w:eastAsia="仿宋" w:cs="仿宋_GB2312"/>
          <w:sz w:val="28"/>
          <w:szCs w:val="28"/>
          <w:u w:val="single"/>
        </w:rPr>
        <w:sectPr>
          <w:pgSz w:w="11906" w:h="16838"/>
          <w:pgMar w:top="312" w:right="1469" w:bottom="709" w:left="1338" w:header="851" w:footer="273" w:gutter="284"/>
          <w:cols w:space="720" w:num="1"/>
          <w:docGrid w:type="lines" w:linePitch="312" w:charSpace="0"/>
        </w:sectPr>
      </w:pPr>
    </w:p>
    <w:p>
      <w:pPr>
        <w:spacing w:line="120" w:lineRule="auto"/>
        <w:jc w:val="left"/>
        <w:rPr>
          <w:rFonts w:ascii="仿宋" w:hAnsi="仿宋" w:eastAsia="仿宋" w:cs="仿宋_GB2312"/>
          <w:b/>
          <w:bCs/>
          <w:sz w:val="32"/>
          <w:szCs w:val="32"/>
        </w:rPr>
      </w:pPr>
      <w:r>
        <w:rPr>
          <w:rStyle w:val="8"/>
          <w:rFonts w:hint="eastAsia" w:ascii="仿宋_GB2312" w:hAnsi="仿宋_GB2312" w:eastAsia="仿宋_GB2312" w:cs="仿宋_GB2312"/>
          <w:color w:val="333333"/>
          <w:sz w:val="30"/>
          <w:szCs w:val="30"/>
        </w:rPr>
        <w:t>报价单（</w:t>
      </w:r>
      <w:r>
        <w:rPr>
          <w:rFonts w:hint="eastAsia" w:ascii="仿宋" w:hAnsi="仿宋" w:eastAsia="仿宋" w:cs="仿宋_GB2312"/>
          <w:b/>
          <w:bCs/>
          <w:sz w:val="32"/>
          <w:szCs w:val="32"/>
          <w:highlight w:val="yellow"/>
        </w:rPr>
        <w:t>TGJA-XZ</w:t>
      </w:r>
      <w:r>
        <w:rPr>
          <w:rFonts w:hint="default" w:ascii="仿宋" w:hAnsi="仿宋" w:eastAsia="仿宋" w:cs="仿宋_GB2312"/>
          <w:b/>
          <w:bCs/>
          <w:sz w:val="32"/>
          <w:szCs w:val="32"/>
          <w:highlight w:val="yellow"/>
        </w:rPr>
        <w:t>FW</w:t>
      </w:r>
      <w:r>
        <w:rPr>
          <w:rFonts w:hint="eastAsia" w:ascii="仿宋" w:hAnsi="仿宋" w:eastAsia="仿宋" w:cs="仿宋_GB2312"/>
          <w:b/>
          <w:bCs/>
          <w:sz w:val="32"/>
          <w:szCs w:val="32"/>
          <w:highlight w:val="yellow"/>
        </w:rPr>
        <w:t>-202302</w:t>
      </w:r>
      <w:r>
        <w:rPr>
          <w:rFonts w:hint="eastAsia" w:ascii="仿宋" w:hAnsi="仿宋" w:eastAsia="仿宋" w:cs="仿宋_GB2312"/>
          <w:b/>
          <w:bCs/>
          <w:sz w:val="32"/>
          <w:szCs w:val="32"/>
        </w:rPr>
        <w:t>）</w:t>
      </w:r>
    </w:p>
    <w:tbl>
      <w:tblPr>
        <w:tblStyle w:val="5"/>
        <w:tblW w:w="13000" w:type="dxa"/>
        <w:jc w:val="center"/>
        <w:tblLayout w:type="autofit"/>
        <w:tblCellMar>
          <w:top w:w="0" w:type="dxa"/>
          <w:left w:w="108" w:type="dxa"/>
          <w:bottom w:w="0" w:type="dxa"/>
          <w:right w:w="108" w:type="dxa"/>
        </w:tblCellMar>
      </w:tblPr>
      <w:tblGrid>
        <w:gridCol w:w="786"/>
        <w:gridCol w:w="2819"/>
        <w:gridCol w:w="2709"/>
        <w:gridCol w:w="1834"/>
        <w:gridCol w:w="1143"/>
        <w:gridCol w:w="531"/>
        <w:gridCol w:w="531"/>
        <w:gridCol w:w="1265"/>
        <w:gridCol w:w="1382"/>
      </w:tblGrid>
      <w:tr>
        <w:tblPrEx>
          <w:tblCellMar>
            <w:top w:w="0" w:type="dxa"/>
            <w:left w:w="108" w:type="dxa"/>
            <w:bottom w:w="0" w:type="dxa"/>
            <w:right w:w="108" w:type="dxa"/>
          </w:tblCellMar>
        </w:tblPrEx>
        <w:trPr>
          <w:trHeight w:val="501" w:hRule="atLeast"/>
          <w:jc w:val="center"/>
        </w:trPr>
        <w:tc>
          <w:tcPr>
            <w:tcW w:w="13000" w:type="dxa"/>
            <w:gridSpan w:val="9"/>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b/>
                <w:bCs/>
                <w:color w:val="000000"/>
                <w:kern w:val="0"/>
                <w:sz w:val="20"/>
                <w:szCs w:val="36"/>
              </w:rPr>
            </w:pPr>
            <w:r>
              <w:rPr>
                <w:rFonts w:hint="eastAsia" w:ascii="宋体" w:hAnsi="宋体" w:cs="宋体"/>
                <w:b/>
                <w:bCs/>
                <w:color w:val="000000"/>
                <w:kern w:val="0"/>
                <w:sz w:val="20"/>
                <w:szCs w:val="36"/>
              </w:rPr>
              <w:t>公司党建文化阵地建设广告牌报价单</w:t>
            </w:r>
          </w:p>
        </w:tc>
      </w:tr>
      <w:tr>
        <w:tblPrEx>
          <w:tblCellMar>
            <w:top w:w="0" w:type="dxa"/>
            <w:left w:w="108" w:type="dxa"/>
            <w:bottom w:w="0" w:type="dxa"/>
            <w:right w:w="108" w:type="dxa"/>
          </w:tblCellMar>
        </w:tblPrEx>
        <w:trPr>
          <w:trHeight w:val="600" w:hRule="atLeast"/>
          <w:jc w:val="center"/>
        </w:trPr>
        <w:tc>
          <w:tcPr>
            <w:tcW w:w="786"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b/>
                <w:bCs/>
                <w:color w:val="000000"/>
                <w:kern w:val="0"/>
                <w:sz w:val="20"/>
                <w:szCs w:val="22"/>
              </w:rPr>
            </w:pPr>
            <w:r>
              <w:rPr>
                <w:rFonts w:hint="eastAsia" w:ascii="宋体" w:hAnsi="宋体" w:cs="宋体"/>
                <w:b/>
                <w:bCs/>
                <w:color w:val="000000"/>
                <w:kern w:val="0"/>
                <w:sz w:val="20"/>
                <w:szCs w:val="22"/>
              </w:rPr>
              <w:t>序号</w:t>
            </w:r>
          </w:p>
        </w:tc>
        <w:tc>
          <w:tcPr>
            <w:tcW w:w="281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b/>
                <w:bCs/>
                <w:color w:val="000000"/>
                <w:kern w:val="0"/>
                <w:sz w:val="20"/>
                <w:szCs w:val="22"/>
              </w:rPr>
            </w:pPr>
            <w:r>
              <w:rPr>
                <w:rFonts w:hint="eastAsia" w:ascii="宋体" w:hAnsi="宋体" w:cs="宋体"/>
                <w:b/>
                <w:bCs/>
                <w:color w:val="000000"/>
                <w:kern w:val="0"/>
                <w:sz w:val="20"/>
                <w:szCs w:val="22"/>
              </w:rPr>
              <w:t>名称</w:t>
            </w:r>
          </w:p>
        </w:tc>
        <w:tc>
          <w:tcPr>
            <w:tcW w:w="270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b/>
                <w:bCs/>
                <w:color w:val="000000"/>
                <w:kern w:val="0"/>
                <w:sz w:val="20"/>
                <w:szCs w:val="18"/>
              </w:rPr>
            </w:pPr>
            <w:r>
              <w:rPr>
                <w:rFonts w:hint="eastAsia" w:ascii="宋体" w:hAnsi="宋体" w:cs="宋体"/>
                <w:b/>
                <w:bCs/>
                <w:color w:val="000000"/>
                <w:kern w:val="0"/>
                <w:sz w:val="20"/>
                <w:szCs w:val="18"/>
              </w:rPr>
              <w:t>工艺要求</w:t>
            </w:r>
          </w:p>
        </w:tc>
        <w:tc>
          <w:tcPr>
            <w:tcW w:w="1834"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b/>
                <w:bCs/>
                <w:color w:val="000000"/>
                <w:kern w:val="0"/>
                <w:sz w:val="20"/>
                <w:szCs w:val="18"/>
              </w:rPr>
            </w:pPr>
            <w:r>
              <w:rPr>
                <w:rFonts w:hint="eastAsia" w:ascii="宋体" w:hAnsi="宋体" w:cs="宋体"/>
                <w:b/>
                <w:bCs/>
                <w:color w:val="000000"/>
                <w:kern w:val="0"/>
                <w:sz w:val="20"/>
                <w:szCs w:val="18"/>
              </w:rPr>
              <w:t>长度（m）</w:t>
            </w:r>
          </w:p>
        </w:tc>
        <w:tc>
          <w:tcPr>
            <w:tcW w:w="1143"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b/>
                <w:bCs/>
                <w:color w:val="000000"/>
                <w:kern w:val="0"/>
                <w:sz w:val="20"/>
                <w:szCs w:val="18"/>
              </w:rPr>
            </w:pPr>
            <w:r>
              <w:rPr>
                <w:rFonts w:hint="eastAsia" w:ascii="宋体" w:hAnsi="宋体" w:cs="宋体"/>
                <w:b/>
                <w:bCs/>
                <w:color w:val="000000"/>
                <w:kern w:val="0"/>
                <w:sz w:val="20"/>
                <w:szCs w:val="18"/>
              </w:rPr>
              <w:t>高度（m）</w:t>
            </w:r>
          </w:p>
        </w:tc>
        <w:tc>
          <w:tcPr>
            <w:tcW w:w="531"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b/>
                <w:bCs/>
                <w:color w:val="000000"/>
                <w:kern w:val="0"/>
                <w:sz w:val="20"/>
                <w:szCs w:val="18"/>
              </w:rPr>
            </w:pPr>
            <w:r>
              <w:rPr>
                <w:rFonts w:hint="eastAsia" w:ascii="宋体" w:hAnsi="宋体" w:cs="宋体"/>
                <w:b/>
                <w:bCs/>
                <w:color w:val="000000"/>
                <w:kern w:val="0"/>
                <w:sz w:val="20"/>
                <w:szCs w:val="18"/>
              </w:rPr>
              <w:t>单位</w:t>
            </w:r>
          </w:p>
        </w:tc>
        <w:tc>
          <w:tcPr>
            <w:tcW w:w="531"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b/>
                <w:bCs/>
                <w:color w:val="000000"/>
                <w:kern w:val="0"/>
                <w:sz w:val="20"/>
                <w:szCs w:val="18"/>
              </w:rPr>
            </w:pPr>
            <w:r>
              <w:rPr>
                <w:rFonts w:hint="eastAsia" w:ascii="宋体" w:hAnsi="宋体" w:cs="宋体"/>
                <w:b/>
                <w:bCs/>
                <w:color w:val="000000"/>
                <w:kern w:val="0"/>
                <w:sz w:val="20"/>
                <w:szCs w:val="18"/>
              </w:rPr>
              <w:t>数量</w:t>
            </w:r>
          </w:p>
        </w:tc>
        <w:tc>
          <w:tcPr>
            <w:tcW w:w="1265"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b/>
                <w:bCs/>
                <w:color w:val="000000"/>
                <w:kern w:val="0"/>
                <w:sz w:val="20"/>
                <w:szCs w:val="18"/>
              </w:rPr>
            </w:pPr>
            <w:r>
              <w:rPr>
                <w:rFonts w:hint="eastAsia" w:ascii="宋体" w:hAnsi="宋体" w:cs="宋体"/>
                <w:b/>
                <w:bCs/>
                <w:color w:val="000000"/>
                <w:kern w:val="0"/>
                <w:sz w:val="20"/>
                <w:szCs w:val="18"/>
              </w:rPr>
              <w:t>金额（元）</w:t>
            </w:r>
          </w:p>
        </w:tc>
        <w:tc>
          <w:tcPr>
            <w:tcW w:w="138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b/>
                <w:bCs/>
                <w:color w:val="000000"/>
                <w:kern w:val="0"/>
                <w:sz w:val="20"/>
                <w:szCs w:val="18"/>
              </w:rPr>
            </w:pPr>
            <w:r>
              <w:rPr>
                <w:rFonts w:hint="eastAsia" w:ascii="宋体" w:hAnsi="宋体" w:cs="宋体"/>
                <w:b/>
                <w:bCs/>
                <w:color w:val="000000"/>
                <w:kern w:val="0"/>
                <w:sz w:val="20"/>
                <w:szCs w:val="18"/>
              </w:rPr>
              <w:t>备注</w:t>
            </w:r>
          </w:p>
        </w:tc>
      </w:tr>
      <w:tr>
        <w:tblPrEx>
          <w:tblCellMar>
            <w:top w:w="0" w:type="dxa"/>
            <w:left w:w="108" w:type="dxa"/>
            <w:bottom w:w="0" w:type="dxa"/>
            <w:right w:w="108" w:type="dxa"/>
          </w:tblCellMar>
        </w:tblPrEx>
        <w:trPr>
          <w:trHeight w:val="399" w:hRule="atLeast"/>
          <w:jc w:val="center"/>
        </w:trPr>
        <w:tc>
          <w:tcPr>
            <w:tcW w:w="786"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1</w:t>
            </w:r>
          </w:p>
        </w:tc>
        <w:tc>
          <w:tcPr>
            <w:tcW w:w="281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厂区鸟瞰图</w:t>
            </w:r>
          </w:p>
        </w:tc>
        <w:tc>
          <w:tcPr>
            <w:tcW w:w="2709"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kern w:val="0"/>
                <w:sz w:val="20"/>
                <w:szCs w:val="18"/>
              </w:rPr>
            </w:pPr>
            <w:r>
              <w:rPr>
                <w:rFonts w:hint="eastAsia" w:ascii="宋体" w:hAnsi="宋体" w:cs="宋体"/>
                <w:color w:val="000000"/>
                <w:kern w:val="0"/>
                <w:sz w:val="20"/>
                <w:szCs w:val="18"/>
              </w:rPr>
              <w:t>刀刮布打印</w:t>
            </w:r>
          </w:p>
        </w:tc>
        <w:tc>
          <w:tcPr>
            <w:tcW w:w="1834"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2.4</w:t>
            </w:r>
          </w:p>
        </w:tc>
        <w:tc>
          <w:tcPr>
            <w:tcW w:w="1143"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1.2</w:t>
            </w:r>
          </w:p>
        </w:tc>
        <w:tc>
          <w:tcPr>
            <w:tcW w:w="531"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m</w:t>
            </w:r>
          </w:p>
        </w:tc>
        <w:tc>
          <w:tcPr>
            <w:tcW w:w="531"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1</w:t>
            </w:r>
          </w:p>
        </w:tc>
        <w:tc>
          <w:tcPr>
            <w:tcW w:w="1265"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　</w:t>
            </w:r>
          </w:p>
        </w:tc>
        <w:tc>
          <w:tcPr>
            <w:tcW w:w="138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22"/>
              </w:rPr>
            </w:pPr>
            <w:r>
              <w:rPr>
                <w:rFonts w:hint="eastAsia" w:ascii="宋体" w:hAnsi="宋体" w:cs="宋体"/>
                <w:color w:val="000000"/>
                <w:kern w:val="0"/>
                <w:sz w:val="20"/>
                <w:szCs w:val="22"/>
              </w:rPr>
              <w:t>　</w:t>
            </w:r>
          </w:p>
        </w:tc>
      </w:tr>
      <w:tr>
        <w:tblPrEx>
          <w:tblCellMar>
            <w:top w:w="0" w:type="dxa"/>
            <w:left w:w="108" w:type="dxa"/>
            <w:bottom w:w="0" w:type="dxa"/>
            <w:right w:w="108" w:type="dxa"/>
          </w:tblCellMar>
        </w:tblPrEx>
        <w:trPr>
          <w:trHeight w:val="399" w:hRule="atLeast"/>
          <w:jc w:val="center"/>
        </w:trPr>
        <w:tc>
          <w:tcPr>
            <w:tcW w:w="786"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2</w:t>
            </w:r>
          </w:p>
        </w:tc>
        <w:tc>
          <w:tcPr>
            <w:tcW w:w="281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鸟瞰图宣传栏</w:t>
            </w:r>
          </w:p>
        </w:tc>
        <w:tc>
          <w:tcPr>
            <w:tcW w:w="2709"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kern w:val="0"/>
                <w:sz w:val="20"/>
                <w:szCs w:val="18"/>
              </w:rPr>
            </w:pPr>
            <w:r>
              <w:rPr>
                <w:rFonts w:hint="eastAsia" w:ascii="宋体" w:hAnsi="宋体" w:cs="宋体"/>
                <w:color w:val="000000"/>
                <w:kern w:val="0"/>
                <w:sz w:val="20"/>
                <w:szCs w:val="18"/>
              </w:rPr>
              <w:t>SUS201不锈钢</w:t>
            </w:r>
          </w:p>
        </w:tc>
        <w:tc>
          <w:tcPr>
            <w:tcW w:w="1834"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2.6</w:t>
            </w:r>
          </w:p>
        </w:tc>
        <w:tc>
          <w:tcPr>
            <w:tcW w:w="1143"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2.6</w:t>
            </w:r>
          </w:p>
        </w:tc>
        <w:tc>
          <w:tcPr>
            <w:tcW w:w="531"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m</w:t>
            </w:r>
          </w:p>
        </w:tc>
        <w:tc>
          <w:tcPr>
            <w:tcW w:w="531"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1</w:t>
            </w:r>
          </w:p>
        </w:tc>
        <w:tc>
          <w:tcPr>
            <w:tcW w:w="1265"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　</w:t>
            </w:r>
          </w:p>
        </w:tc>
        <w:tc>
          <w:tcPr>
            <w:tcW w:w="138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22"/>
              </w:rPr>
            </w:pPr>
            <w:r>
              <w:rPr>
                <w:rFonts w:hint="eastAsia" w:ascii="宋体" w:hAnsi="宋体" w:cs="宋体"/>
                <w:color w:val="000000"/>
                <w:kern w:val="0"/>
                <w:sz w:val="20"/>
                <w:szCs w:val="22"/>
              </w:rPr>
              <w:t>　</w:t>
            </w:r>
          </w:p>
        </w:tc>
      </w:tr>
      <w:tr>
        <w:tblPrEx>
          <w:tblCellMar>
            <w:top w:w="0" w:type="dxa"/>
            <w:left w:w="108" w:type="dxa"/>
            <w:bottom w:w="0" w:type="dxa"/>
            <w:right w:w="108" w:type="dxa"/>
          </w:tblCellMar>
        </w:tblPrEx>
        <w:trPr>
          <w:trHeight w:val="399" w:hRule="atLeast"/>
          <w:jc w:val="center"/>
        </w:trPr>
        <w:tc>
          <w:tcPr>
            <w:tcW w:w="786"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3</w:t>
            </w:r>
          </w:p>
        </w:tc>
        <w:tc>
          <w:tcPr>
            <w:tcW w:w="281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厂内行车宣传标语牌</w:t>
            </w:r>
          </w:p>
        </w:tc>
        <w:tc>
          <w:tcPr>
            <w:tcW w:w="2709"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kern w:val="0"/>
                <w:sz w:val="20"/>
                <w:szCs w:val="18"/>
              </w:rPr>
            </w:pPr>
            <w:r>
              <w:rPr>
                <w:rFonts w:hint="eastAsia" w:ascii="宋体" w:hAnsi="宋体" w:cs="宋体"/>
                <w:color w:val="000000"/>
                <w:kern w:val="0"/>
                <w:sz w:val="20"/>
                <w:szCs w:val="18"/>
              </w:rPr>
              <w:t>彩钢瓦直喷打孔</w:t>
            </w:r>
          </w:p>
        </w:tc>
        <w:tc>
          <w:tcPr>
            <w:tcW w:w="1834"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1.1</w:t>
            </w:r>
          </w:p>
        </w:tc>
        <w:tc>
          <w:tcPr>
            <w:tcW w:w="1143"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1.1</w:t>
            </w:r>
          </w:p>
        </w:tc>
        <w:tc>
          <w:tcPr>
            <w:tcW w:w="531"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m</w:t>
            </w:r>
          </w:p>
        </w:tc>
        <w:tc>
          <w:tcPr>
            <w:tcW w:w="531"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14</w:t>
            </w:r>
          </w:p>
        </w:tc>
        <w:tc>
          <w:tcPr>
            <w:tcW w:w="1265"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　</w:t>
            </w:r>
          </w:p>
        </w:tc>
        <w:tc>
          <w:tcPr>
            <w:tcW w:w="138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22"/>
              </w:rPr>
            </w:pPr>
            <w:r>
              <w:rPr>
                <w:rFonts w:hint="eastAsia" w:ascii="宋体" w:hAnsi="宋体" w:cs="宋体"/>
                <w:color w:val="000000"/>
                <w:kern w:val="0"/>
                <w:sz w:val="20"/>
                <w:szCs w:val="22"/>
              </w:rPr>
              <w:t>　</w:t>
            </w:r>
          </w:p>
        </w:tc>
      </w:tr>
      <w:tr>
        <w:tblPrEx>
          <w:tblCellMar>
            <w:top w:w="0" w:type="dxa"/>
            <w:left w:w="108" w:type="dxa"/>
            <w:bottom w:w="0" w:type="dxa"/>
            <w:right w:w="108" w:type="dxa"/>
          </w:tblCellMar>
        </w:tblPrEx>
        <w:trPr>
          <w:trHeight w:val="399" w:hRule="atLeast"/>
          <w:jc w:val="center"/>
        </w:trPr>
        <w:tc>
          <w:tcPr>
            <w:tcW w:w="786"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4</w:t>
            </w:r>
          </w:p>
        </w:tc>
        <w:tc>
          <w:tcPr>
            <w:tcW w:w="281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生态园文化展板</w:t>
            </w:r>
          </w:p>
        </w:tc>
        <w:tc>
          <w:tcPr>
            <w:tcW w:w="2709"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000000"/>
                <w:kern w:val="0"/>
                <w:sz w:val="20"/>
                <w:szCs w:val="18"/>
              </w:rPr>
            </w:pPr>
            <w:r>
              <w:rPr>
                <w:rFonts w:hint="eastAsia" w:ascii="宋体" w:hAnsi="宋体" w:cs="宋体"/>
                <w:color w:val="000000"/>
                <w:kern w:val="0"/>
                <w:sz w:val="20"/>
                <w:szCs w:val="18"/>
              </w:rPr>
              <w:t>SUS201不锈钢烤漆侧厚20cm</w:t>
            </w:r>
          </w:p>
        </w:tc>
        <w:tc>
          <w:tcPr>
            <w:tcW w:w="1834"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6</w:t>
            </w:r>
          </w:p>
        </w:tc>
        <w:tc>
          <w:tcPr>
            <w:tcW w:w="1143"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1.48</w:t>
            </w:r>
          </w:p>
        </w:tc>
        <w:tc>
          <w:tcPr>
            <w:tcW w:w="531"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m</w:t>
            </w:r>
          </w:p>
        </w:tc>
        <w:tc>
          <w:tcPr>
            <w:tcW w:w="531"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2</w:t>
            </w:r>
          </w:p>
        </w:tc>
        <w:tc>
          <w:tcPr>
            <w:tcW w:w="1265"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　</w:t>
            </w:r>
          </w:p>
        </w:tc>
        <w:tc>
          <w:tcPr>
            <w:tcW w:w="138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22"/>
              </w:rPr>
            </w:pPr>
            <w:r>
              <w:rPr>
                <w:rFonts w:hint="eastAsia" w:ascii="宋体" w:hAnsi="宋体" w:cs="宋体"/>
                <w:color w:val="000000"/>
                <w:kern w:val="0"/>
                <w:sz w:val="20"/>
                <w:szCs w:val="22"/>
              </w:rPr>
              <w:t>　</w:t>
            </w:r>
          </w:p>
        </w:tc>
      </w:tr>
      <w:tr>
        <w:tblPrEx>
          <w:tblCellMar>
            <w:top w:w="0" w:type="dxa"/>
            <w:left w:w="108" w:type="dxa"/>
            <w:bottom w:w="0" w:type="dxa"/>
            <w:right w:w="108" w:type="dxa"/>
          </w:tblCellMar>
        </w:tblPrEx>
        <w:trPr>
          <w:trHeight w:val="792" w:hRule="atLeast"/>
          <w:jc w:val="center"/>
        </w:trPr>
        <w:tc>
          <w:tcPr>
            <w:tcW w:w="786" w:type="dxa"/>
            <w:vMerge w:val="restart"/>
            <w:tcBorders>
              <w:top w:val="nil"/>
              <w:left w:val="single" w:color="auto" w:sz="4" w:space="0"/>
              <w:bottom w:val="single" w:color="000000" w:sz="4" w:space="0"/>
              <w:right w:val="single" w:color="auto" w:sz="4" w:space="0"/>
            </w:tcBorders>
            <w:shd w:val="clear" w:color="auto" w:fill="auto"/>
            <w:noWrap/>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5</w:t>
            </w:r>
          </w:p>
        </w:tc>
        <w:tc>
          <w:tcPr>
            <w:tcW w:w="2819" w:type="dxa"/>
            <w:vMerge w:val="restart"/>
            <w:tcBorders>
              <w:top w:val="nil"/>
              <w:left w:val="single" w:color="auto" w:sz="4" w:space="0"/>
              <w:bottom w:val="single" w:color="000000"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厂区内灯箱框架焊接及安装</w:t>
            </w:r>
          </w:p>
        </w:tc>
        <w:tc>
          <w:tcPr>
            <w:tcW w:w="2709" w:type="dxa"/>
            <w:tcBorders>
              <w:top w:val="nil"/>
              <w:left w:val="nil"/>
              <w:bottom w:val="single" w:color="auto" w:sz="4" w:space="0"/>
              <w:right w:val="single" w:color="auto" w:sz="4" w:space="0"/>
            </w:tcBorders>
            <w:shd w:val="clear" w:color="auto" w:fill="auto"/>
            <w:vAlign w:val="center"/>
          </w:tcPr>
          <w:p>
            <w:pPr>
              <w:widowControl/>
              <w:jc w:val="left"/>
              <w:rPr>
                <w:rFonts w:ascii="宋体" w:hAnsi="宋体" w:cs="宋体"/>
                <w:color w:val="000000"/>
                <w:kern w:val="0"/>
                <w:sz w:val="20"/>
                <w:szCs w:val="18"/>
              </w:rPr>
            </w:pPr>
            <w:r>
              <w:rPr>
                <w:rFonts w:hint="eastAsia" w:ascii="宋体" w:hAnsi="宋体" w:cs="宋体"/>
                <w:color w:val="000000"/>
                <w:kern w:val="0"/>
                <w:sz w:val="20"/>
                <w:szCs w:val="18"/>
              </w:rPr>
              <w:t>4X4镀锌方管焊接 （含焊接及安装）</w:t>
            </w:r>
          </w:p>
        </w:tc>
        <w:tc>
          <w:tcPr>
            <w:tcW w:w="1834"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10</w:t>
            </w:r>
          </w:p>
        </w:tc>
        <w:tc>
          <w:tcPr>
            <w:tcW w:w="1143"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1.6</w:t>
            </w:r>
          </w:p>
        </w:tc>
        <w:tc>
          <w:tcPr>
            <w:tcW w:w="531"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w:t>
            </w:r>
          </w:p>
        </w:tc>
        <w:tc>
          <w:tcPr>
            <w:tcW w:w="531"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2</w:t>
            </w:r>
          </w:p>
        </w:tc>
        <w:tc>
          <w:tcPr>
            <w:tcW w:w="1265"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　</w:t>
            </w:r>
          </w:p>
        </w:tc>
        <w:tc>
          <w:tcPr>
            <w:tcW w:w="138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22"/>
              </w:rPr>
            </w:pPr>
            <w:r>
              <w:rPr>
                <w:rFonts w:hint="eastAsia" w:ascii="宋体" w:hAnsi="宋体" w:cs="宋体"/>
                <w:color w:val="000000"/>
                <w:kern w:val="0"/>
                <w:sz w:val="20"/>
                <w:szCs w:val="22"/>
              </w:rPr>
              <w:t>　</w:t>
            </w:r>
          </w:p>
        </w:tc>
      </w:tr>
      <w:tr>
        <w:tblPrEx>
          <w:tblCellMar>
            <w:top w:w="0" w:type="dxa"/>
            <w:left w:w="108" w:type="dxa"/>
            <w:bottom w:w="0" w:type="dxa"/>
            <w:right w:w="108" w:type="dxa"/>
          </w:tblCellMar>
        </w:tblPrEx>
        <w:trPr>
          <w:trHeight w:val="624" w:hRule="atLeast"/>
          <w:jc w:val="center"/>
        </w:trPr>
        <w:tc>
          <w:tcPr>
            <w:tcW w:w="786" w:type="dxa"/>
            <w:vMerge w:val="continue"/>
            <w:tcBorders>
              <w:top w:val="nil"/>
              <w:left w:val="single" w:color="auto" w:sz="4" w:space="0"/>
              <w:bottom w:val="single" w:color="000000" w:sz="4" w:space="0"/>
              <w:right w:val="single" w:color="auto" w:sz="4" w:space="0"/>
            </w:tcBorders>
            <w:vAlign w:val="center"/>
          </w:tcPr>
          <w:p>
            <w:pPr>
              <w:widowControl/>
              <w:jc w:val="left"/>
              <w:rPr>
                <w:rFonts w:ascii="宋体" w:hAnsi="宋体" w:cs="宋体"/>
                <w:color w:val="000000"/>
                <w:kern w:val="0"/>
                <w:sz w:val="20"/>
                <w:szCs w:val="20"/>
              </w:rPr>
            </w:pPr>
          </w:p>
        </w:tc>
        <w:tc>
          <w:tcPr>
            <w:tcW w:w="2819" w:type="dxa"/>
            <w:vMerge w:val="continue"/>
            <w:tcBorders>
              <w:top w:val="nil"/>
              <w:left w:val="single" w:color="auto" w:sz="4" w:space="0"/>
              <w:bottom w:val="single" w:color="000000" w:sz="4" w:space="0"/>
              <w:right w:val="single" w:color="auto" w:sz="4" w:space="0"/>
            </w:tcBorders>
            <w:vAlign w:val="center"/>
          </w:tcPr>
          <w:p>
            <w:pPr>
              <w:widowControl/>
              <w:jc w:val="left"/>
              <w:rPr>
                <w:rFonts w:ascii="宋体" w:hAnsi="宋体" w:cs="宋体"/>
                <w:color w:val="000000"/>
                <w:kern w:val="0"/>
                <w:sz w:val="20"/>
                <w:szCs w:val="18"/>
              </w:rPr>
            </w:pPr>
          </w:p>
        </w:tc>
        <w:tc>
          <w:tcPr>
            <w:tcW w:w="2709" w:type="dxa"/>
            <w:tcBorders>
              <w:top w:val="nil"/>
              <w:left w:val="nil"/>
              <w:bottom w:val="single" w:color="auto" w:sz="4" w:space="0"/>
              <w:right w:val="single" w:color="auto" w:sz="4" w:space="0"/>
            </w:tcBorders>
            <w:shd w:val="clear" w:color="auto" w:fill="auto"/>
            <w:vAlign w:val="center"/>
          </w:tcPr>
          <w:p>
            <w:pPr>
              <w:widowControl/>
              <w:jc w:val="left"/>
              <w:rPr>
                <w:rFonts w:ascii="宋体" w:hAnsi="宋体" w:cs="宋体"/>
                <w:color w:val="000000"/>
                <w:kern w:val="0"/>
                <w:sz w:val="20"/>
                <w:szCs w:val="18"/>
              </w:rPr>
            </w:pPr>
            <w:r>
              <w:rPr>
                <w:rFonts w:hint="eastAsia" w:ascii="宋体" w:hAnsi="宋体" w:cs="宋体"/>
                <w:color w:val="000000"/>
                <w:kern w:val="0"/>
                <w:sz w:val="20"/>
                <w:szCs w:val="18"/>
              </w:rPr>
              <w:t>4X4镀锌方管焊接 （含焊接及安装）</w:t>
            </w:r>
          </w:p>
        </w:tc>
        <w:tc>
          <w:tcPr>
            <w:tcW w:w="1834"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9</w:t>
            </w:r>
          </w:p>
        </w:tc>
        <w:tc>
          <w:tcPr>
            <w:tcW w:w="1143"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1.6</w:t>
            </w:r>
          </w:p>
        </w:tc>
        <w:tc>
          <w:tcPr>
            <w:tcW w:w="531"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w:t>
            </w:r>
          </w:p>
        </w:tc>
        <w:tc>
          <w:tcPr>
            <w:tcW w:w="531"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14</w:t>
            </w:r>
          </w:p>
        </w:tc>
        <w:tc>
          <w:tcPr>
            <w:tcW w:w="1265"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　</w:t>
            </w:r>
          </w:p>
        </w:tc>
        <w:tc>
          <w:tcPr>
            <w:tcW w:w="138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22"/>
              </w:rPr>
            </w:pPr>
            <w:r>
              <w:rPr>
                <w:rFonts w:hint="eastAsia" w:ascii="宋体" w:hAnsi="宋体" w:cs="宋体"/>
                <w:color w:val="000000"/>
                <w:kern w:val="0"/>
                <w:sz w:val="20"/>
                <w:szCs w:val="22"/>
              </w:rPr>
              <w:t>　</w:t>
            </w:r>
          </w:p>
        </w:tc>
      </w:tr>
      <w:tr>
        <w:tblPrEx>
          <w:tblCellMar>
            <w:top w:w="0" w:type="dxa"/>
            <w:left w:w="108" w:type="dxa"/>
            <w:bottom w:w="0" w:type="dxa"/>
            <w:right w:w="108" w:type="dxa"/>
          </w:tblCellMar>
        </w:tblPrEx>
        <w:trPr>
          <w:trHeight w:val="1224" w:hRule="atLeast"/>
          <w:jc w:val="center"/>
        </w:trPr>
        <w:tc>
          <w:tcPr>
            <w:tcW w:w="786" w:type="dxa"/>
            <w:vMerge w:val="restart"/>
            <w:tcBorders>
              <w:top w:val="nil"/>
              <w:left w:val="single" w:color="auto" w:sz="4" w:space="0"/>
              <w:bottom w:val="single" w:color="000000" w:sz="4" w:space="0"/>
              <w:right w:val="single" w:color="auto" w:sz="4" w:space="0"/>
            </w:tcBorders>
            <w:shd w:val="clear" w:color="auto" w:fill="auto"/>
            <w:noWrap/>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6</w:t>
            </w:r>
          </w:p>
        </w:tc>
        <w:tc>
          <w:tcPr>
            <w:tcW w:w="2819" w:type="dxa"/>
            <w:vMerge w:val="restart"/>
            <w:tcBorders>
              <w:top w:val="nil"/>
              <w:left w:val="single" w:color="auto" w:sz="4" w:space="0"/>
              <w:bottom w:val="single" w:color="000000"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厂区内灯箱制作及安装</w:t>
            </w:r>
          </w:p>
        </w:tc>
        <w:tc>
          <w:tcPr>
            <w:tcW w:w="2709" w:type="dxa"/>
            <w:tcBorders>
              <w:top w:val="nil"/>
              <w:left w:val="nil"/>
              <w:bottom w:val="single" w:color="auto" w:sz="4" w:space="0"/>
              <w:right w:val="single" w:color="auto" w:sz="4" w:space="0"/>
            </w:tcBorders>
            <w:shd w:val="clear" w:color="auto" w:fill="auto"/>
            <w:vAlign w:val="center"/>
          </w:tcPr>
          <w:p>
            <w:pPr>
              <w:widowControl/>
              <w:jc w:val="left"/>
              <w:rPr>
                <w:rFonts w:ascii="宋体" w:hAnsi="宋体" w:cs="宋体"/>
                <w:color w:val="000000"/>
                <w:kern w:val="0"/>
                <w:sz w:val="20"/>
                <w:szCs w:val="18"/>
              </w:rPr>
            </w:pPr>
            <w:r>
              <w:rPr>
                <w:rFonts w:hint="eastAsia" w:ascii="宋体" w:hAnsi="宋体" w:cs="宋体"/>
                <w:color w:val="000000"/>
                <w:kern w:val="0"/>
                <w:sz w:val="20"/>
                <w:szCs w:val="18"/>
              </w:rPr>
              <w:t>8CM铝合金型材边框、画面可更换、灯箱底板、高亮LED防水灯条、表面敷卡布软膜25丝高清UV打印、交流接触器+空开+时控开关及变压器</w:t>
            </w:r>
          </w:p>
        </w:tc>
        <w:tc>
          <w:tcPr>
            <w:tcW w:w="1834"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10</w:t>
            </w:r>
          </w:p>
        </w:tc>
        <w:tc>
          <w:tcPr>
            <w:tcW w:w="1143"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1.6</w:t>
            </w:r>
          </w:p>
        </w:tc>
        <w:tc>
          <w:tcPr>
            <w:tcW w:w="531"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w:t>
            </w:r>
          </w:p>
        </w:tc>
        <w:tc>
          <w:tcPr>
            <w:tcW w:w="531"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2</w:t>
            </w:r>
          </w:p>
        </w:tc>
        <w:tc>
          <w:tcPr>
            <w:tcW w:w="1265"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　</w:t>
            </w:r>
          </w:p>
        </w:tc>
        <w:tc>
          <w:tcPr>
            <w:tcW w:w="138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22"/>
              </w:rPr>
            </w:pPr>
            <w:r>
              <w:rPr>
                <w:rFonts w:hint="eastAsia" w:ascii="宋体" w:hAnsi="宋体" w:cs="宋体"/>
                <w:color w:val="000000"/>
                <w:kern w:val="0"/>
                <w:sz w:val="20"/>
                <w:szCs w:val="22"/>
              </w:rPr>
              <w:t>　</w:t>
            </w:r>
          </w:p>
        </w:tc>
      </w:tr>
      <w:tr>
        <w:tblPrEx>
          <w:tblCellMar>
            <w:top w:w="0" w:type="dxa"/>
            <w:left w:w="108" w:type="dxa"/>
            <w:bottom w:w="0" w:type="dxa"/>
            <w:right w:w="108" w:type="dxa"/>
          </w:tblCellMar>
        </w:tblPrEx>
        <w:trPr>
          <w:trHeight w:val="1080" w:hRule="atLeast"/>
          <w:jc w:val="center"/>
        </w:trPr>
        <w:tc>
          <w:tcPr>
            <w:tcW w:w="786" w:type="dxa"/>
            <w:vMerge w:val="continue"/>
            <w:tcBorders>
              <w:top w:val="nil"/>
              <w:left w:val="single" w:color="auto" w:sz="4" w:space="0"/>
              <w:bottom w:val="single" w:color="000000" w:sz="4" w:space="0"/>
              <w:right w:val="single" w:color="auto" w:sz="4" w:space="0"/>
            </w:tcBorders>
            <w:vAlign w:val="center"/>
          </w:tcPr>
          <w:p>
            <w:pPr>
              <w:widowControl/>
              <w:jc w:val="left"/>
              <w:rPr>
                <w:rFonts w:ascii="宋体" w:hAnsi="宋体" w:cs="宋体"/>
                <w:color w:val="000000"/>
                <w:kern w:val="0"/>
                <w:sz w:val="20"/>
                <w:szCs w:val="20"/>
              </w:rPr>
            </w:pPr>
          </w:p>
        </w:tc>
        <w:tc>
          <w:tcPr>
            <w:tcW w:w="2819" w:type="dxa"/>
            <w:vMerge w:val="continue"/>
            <w:tcBorders>
              <w:top w:val="nil"/>
              <w:left w:val="single" w:color="auto" w:sz="4" w:space="0"/>
              <w:bottom w:val="single" w:color="000000" w:sz="4" w:space="0"/>
              <w:right w:val="single" w:color="auto" w:sz="4" w:space="0"/>
            </w:tcBorders>
            <w:vAlign w:val="center"/>
          </w:tcPr>
          <w:p>
            <w:pPr>
              <w:widowControl/>
              <w:jc w:val="left"/>
              <w:rPr>
                <w:rFonts w:ascii="宋体" w:hAnsi="宋体" w:cs="宋体"/>
                <w:color w:val="000000"/>
                <w:kern w:val="0"/>
                <w:sz w:val="20"/>
                <w:szCs w:val="18"/>
              </w:rPr>
            </w:pPr>
          </w:p>
        </w:tc>
        <w:tc>
          <w:tcPr>
            <w:tcW w:w="2709" w:type="dxa"/>
            <w:tcBorders>
              <w:top w:val="nil"/>
              <w:left w:val="nil"/>
              <w:bottom w:val="single" w:color="auto" w:sz="4" w:space="0"/>
              <w:right w:val="single" w:color="auto" w:sz="4" w:space="0"/>
            </w:tcBorders>
            <w:shd w:val="clear" w:color="auto" w:fill="auto"/>
            <w:vAlign w:val="center"/>
          </w:tcPr>
          <w:p>
            <w:pPr>
              <w:widowControl/>
              <w:jc w:val="left"/>
              <w:rPr>
                <w:rFonts w:ascii="宋体" w:hAnsi="宋体" w:cs="宋体"/>
                <w:color w:val="000000"/>
                <w:kern w:val="0"/>
                <w:sz w:val="20"/>
                <w:szCs w:val="18"/>
              </w:rPr>
            </w:pPr>
            <w:r>
              <w:rPr>
                <w:rFonts w:hint="eastAsia" w:ascii="宋体" w:hAnsi="宋体" w:cs="宋体"/>
                <w:color w:val="000000"/>
                <w:kern w:val="0"/>
                <w:sz w:val="20"/>
                <w:szCs w:val="18"/>
              </w:rPr>
              <w:t>8CM铝合金型材边框、画面可更换、灯箱底板、高亮LED防水灯条、表面敷卡布软膜25丝高清UV打印、交流接触器+空开+时控开关及变压器</w:t>
            </w:r>
          </w:p>
        </w:tc>
        <w:tc>
          <w:tcPr>
            <w:tcW w:w="1834"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9</w:t>
            </w:r>
          </w:p>
        </w:tc>
        <w:tc>
          <w:tcPr>
            <w:tcW w:w="1143"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1.6</w:t>
            </w:r>
          </w:p>
        </w:tc>
        <w:tc>
          <w:tcPr>
            <w:tcW w:w="531"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w:t>
            </w:r>
          </w:p>
        </w:tc>
        <w:tc>
          <w:tcPr>
            <w:tcW w:w="531"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14</w:t>
            </w:r>
          </w:p>
        </w:tc>
        <w:tc>
          <w:tcPr>
            <w:tcW w:w="1265"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　</w:t>
            </w:r>
          </w:p>
        </w:tc>
        <w:tc>
          <w:tcPr>
            <w:tcW w:w="138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22"/>
              </w:rPr>
            </w:pPr>
            <w:r>
              <w:rPr>
                <w:rFonts w:hint="eastAsia" w:ascii="宋体" w:hAnsi="宋体" w:cs="宋体"/>
                <w:color w:val="000000"/>
                <w:kern w:val="0"/>
                <w:sz w:val="20"/>
                <w:szCs w:val="22"/>
              </w:rPr>
              <w:t>　</w:t>
            </w:r>
          </w:p>
        </w:tc>
      </w:tr>
      <w:tr>
        <w:tblPrEx>
          <w:tblCellMar>
            <w:top w:w="0" w:type="dxa"/>
            <w:left w:w="108" w:type="dxa"/>
            <w:bottom w:w="0" w:type="dxa"/>
            <w:right w:w="108" w:type="dxa"/>
          </w:tblCellMar>
        </w:tblPrEx>
        <w:trPr>
          <w:trHeight w:val="399" w:hRule="atLeast"/>
          <w:jc w:val="center"/>
        </w:trPr>
        <w:tc>
          <w:tcPr>
            <w:tcW w:w="786"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7</w:t>
            </w:r>
          </w:p>
        </w:tc>
        <w:tc>
          <w:tcPr>
            <w:tcW w:w="281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架手架搭建</w:t>
            </w:r>
          </w:p>
        </w:tc>
        <w:tc>
          <w:tcPr>
            <w:tcW w:w="270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　</w:t>
            </w:r>
          </w:p>
        </w:tc>
        <w:tc>
          <w:tcPr>
            <w:tcW w:w="1834"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　</w:t>
            </w:r>
          </w:p>
        </w:tc>
        <w:tc>
          <w:tcPr>
            <w:tcW w:w="1143"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　</w:t>
            </w:r>
          </w:p>
        </w:tc>
        <w:tc>
          <w:tcPr>
            <w:tcW w:w="531"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项</w:t>
            </w:r>
          </w:p>
        </w:tc>
        <w:tc>
          <w:tcPr>
            <w:tcW w:w="531"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1</w:t>
            </w:r>
          </w:p>
        </w:tc>
        <w:tc>
          <w:tcPr>
            <w:tcW w:w="1265"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　</w:t>
            </w:r>
          </w:p>
        </w:tc>
        <w:tc>
          <w:tcPr>
            <w:tcW w:w="138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　</w:t>
            </w:r>
          </w:p>
        </w:tc>
      </w:tr>
      <w:tr>
        <w:tblPrEx>
          <w:tblCellMar>
            <w:top w:w="0" w:type="dxa"/>
            <w:left w:w="108" w:type="dxa"/>
            <w:bottom w:w="0" w:type="dxa"/>
            <w:right w:w="108" w:type="dxa"/>
          </w:tblCellMar>
        </w:tblPrEx>
        <w:trPr>
          <w:trHeight w:val="399" w:hRule="atLeast"/>
          <w:jc w:val="center"/>
        </w:trPr>
        <w:tc>
          <w:tcPr>
            <w:tcW w:w="786"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8</w:t>
            </w:r>
          </w:p>
        </w:tc>
        <w:tc>
          <w:tcPr>
            <w:tcW w:w="281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安装及辅材</w:t>
            </w:r>
          </w:p>
        </w:tc>
        <w:tc>
          <w:tcPr>
            <w:tcW w:w="270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　</w:t>
            </w:r>
          </w:p>
        </w:tc>
        <w:tc>
          <w:tcPr>
            <w:tcW w:w="1834"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　</w:t>
            </w:r>
          </w:p>
        </w:tc>
        <w:tc>
          <w:tcPr>
            <w:tcW w:w="1143"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　</w:t>
            </w:r>
          </w:p>
        </w:tc>
        <w:tc>
          <w:tcPr>
            <w:tcW w:w="531"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项</w:t>
            </w:r>
          </w:p>
        </w:tc>
        <w:tc>
          <w:tcPr>
            <w:tcW w:w="531"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1</w:t>
            </w:r>
          </w:p>
        </w:tc>
        <w:tc>
          <w:tcPr>
            <w:tcW w:w="1265"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　</w:t>
            </w:r>
          </w:p>
        </w:tc>
        <w:tc>
          <w:tcPr>
            <w:tcW w:w="138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　</w:t>
            </w:r>
          </w:p>
        </w:tc>
      </w:tr>
      <w:tr>
        <w:tblPrEx>
          <w:tblCellMar>
            <w:top w:w="0" w:type="dxa"/>
            <w:left w:w="108" w:type="dxa"/>
            <w:bottom w:w="0" w:type="dxa"/>
            <w:right w:w="108" w:type="dxa"/>
          </w:tblCellMar>
        </w:tblPrEx>
        <w:trPr>
          <w:trHeight w:val="399" w:hRule="atLeast"/>
          <w:jc w:val="center"/>
        </w:trPr>
        <w:tc>
          <w:tcPr>
            <w:tcW w:w="786"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9</w:t>
            </w:r>
          </w:p>
        </w:tc>
        <w:tc>
          <w:tcPr>
            <w:tcW w:w="281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运输车费</w:t>
            </w:r>
          </w:p>
        </w:tc>
        <w:tc>
          <w:tcPr>
            <w:tcW w:w="270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　</w:t>
            </w:r>
          </w:p>
        </w:tc>
        <w:tc>
          <w:tcPr>
            <w:tcW w:w="1834"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　</w:t>
            </w:r>
          </w:p>
        </w:tc>
        <w:tc>
          <w:tcPr>
            <w:tcW w:w="1143"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　</w:t>
            </w:r>
          </w:p>
        </w:tc>
        <w:tc>
          <w:tcPr>
            <w:tcW w:w="531"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项</w:t>
            </w:r>
          </w:p>
        </w:tc>
        <w:tc>
          <w:tcPr>
            <w:tcW w:w="531"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1</w:t>
            </w:r>
          </w:p>
        </w:tc>
        <w:tc>
          <w:tcPr>
            <w:tcW w:w="1265"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　</w:t>
            </w:r>
          </w:p>
        </w:tc>
        <w:tc>
          <w:tcPr>
            <w:tcW w:w="138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　</w:t>
            </w:r>
          </w:p>
        </w:tc>
      </w:tr>
      <w:tr>
        <w:tblPrEx>
          <w:tblCellMar>
            <w:top w:w="0" w:type="dxa"/>
            <w:left w:w="108" w:type="dxa"/>
            <w:bottom w:w="0" w:type="dxa"/>
            <w:right w:w="108" w:type="dxa"/>
          </w:tblCellMar>
        </w:tblPrEx>
        <w:trPr>
          <w:trHeight w:val="399" w:hRule="atLeast"/>
          <w:jc w:val="center"/>
        </w:trPr>
        <w:tc>
          <w:tcPr>
            <w:tcW w:w="786"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10</w:t>
            </w:r>
          </w:p>
        </w:tc>
        <w:tc>
          <w:tcPr>
            <w:tcW w:w="281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税额</w:t>
            </w:r>
          </w:p>
        </w:tc>
        <w:tc>
          <w:tcPr>
            <w:tcW w:w="270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　</w:t>
            </w:r>
          </w:p>
        </w:tc>
        <w:tc>
          <w:tcPr>
            <w:tcW w:w="1834"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　</w:t>
            </w:r>
          </w:p>
        </w:tc>
        <w:tc>
          <w:tcPr>
            <w:tcW w:w="1143"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　</w:t>
            </w:r>
          </w:p>
        </w:tc>
        <w:tc>
          <w:tcPr>
            <w:tcW w:w="531"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项</w:t>
            </w:r>
          </w:p>
        </w:tc>
        <w:tc>
          <w:tcPr>
            <w:tcW w:w="531"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1</w:t>
            </w:r>
          </w:p>
        </w:tc>
        <w:tc>
          <w:tcPr>
            <w:tcW w:w="1265"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　</w:t>
            </w:r>
          </w:p>
        </w:tc>
        <w:tc>
          <w:tcPr>
            <w:tcW w:w="138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税率（   ）</w:t>
            </w:r>
          </w:p>
        </w:tc>
      </w:tr>
      <w:tr>
        <w:tblPrEx>
          <w:tblCellMar>
            <w:top w:w="0" w:type="dxa"/>
            <w:left w:w="108" w:type="dxa"/>
            <w:bottom w:w="0" w:type="dxa"/>
            <w:right w:w="108" w:type="dxa"/>
          </w:tblCellMar>
        </w:tblPrEx>
        <w:trPr>
          <w:trHeight w:val="399" w:hRule="atLeast"/>
          <w:jc w:val="center"/>
        </w:trPr>
        <w:tc>
          <w:tcPr>
            <w:tcW w:w="786"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22"/>
              </w:rPr>
            </w:pPr>
            <w:r>
              <w:rPr>
                <w:rFonts w:hint="eastAsia" w:ascii="宋体" w:hAnsi="宋体" w:cs="宋体"/>
                <w:color w:val="000000"/>
                <w:kern w:val="0"/>
                <w:sz w:val="20"/>
                <w:szCs w:val="22"/>
              </w:rPr>
              <w:t>11　</w:t>
            </w:r>
          </w:p>
        </w:tc>
        <w:tc>
          <w:tcPr>
            <w:tcW w:w="281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22"/>
              </w:rPr>
            </w:pPr>
            <w:r>
              <w:rPr>
                <w:rFonts w:hint="eastAsia" w:ascii="宋体" w:hAnsi="宋体" w:cs="宋体"/>
                <w:color w:val="000000"/>
                <w:kern w:val="0"/>
                <w:sz w:val="20"/>
                <w:szCs w:val="22"/>
              </w:rPr>
              <w:t>合计</w:t>
            </w:r>
          </w:p>
        </w:tc>
        <w:tc>
          <w:tcPr>
            <w:tcW w:w="270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22"/>
              </w:rPr>
            </w:pPr>
            <w:r>
              <w:rPr>
                <w:rFonts w:hint="eastAsia" w:ascii="宋体" w:hAnsi="宋体" w:cs="宋体"/>
                <w:color w:val="000000"/>
                <w:kern w:val="0"/>
                <w:sz w:val="20"/>
                <w:szCs w:val="22"/>
              </w:rPr>
              <w:t>　</w:t>
            </w:r>
          </w:p>
        </w:tc>
        <w:tc>
          <w:tcPr>
            <w:tcW w:w="1834"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22"/>
              </w:rPr>
            </w:pPr>
            <w:r>
              <w:rPr>
                <w:rFonts w:hint="eastAsia" w:ascii="宋体" w:hAnsi="宋体" w:cs="宋体"/>
                <w:color w:val="000000"/>
                <w:kern w:val="0"/>
                <w:sz w:val="20"/>
                <w:szCs w:val="22"/>
              </w:rPr>
              <w:t>　</w:t>
            </w:r>
          </w:p>
        </w:tc>
        <w:tc>
          <w:tcPr>
            <w:tcW w:w="1143"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　</w:t>
            </w:r>
          </w:p>
        </w:tc>
        <w:tc>
          <w:tcPr>
            <w:tcW w:w="531"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p>
        </w:tc>
        <w:tc>
          <w:tcPr>
            <w:tcW w:w="531"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p>
        </w:tc>
        <w:tc>
          <w:tcPr>
            <w:tcW w:w="1265"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p>
        </w:tc>
        <w:tc>
          <w:tcPr>
            <w:tcW w:w="1382"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p>
        </w:tc>
      </w:tr>
      <w:tr>
        <w:tblPrEx>
          <w:tblCellMar>
            <w:top w:w="0" w:type="dxa"/>
            <w:left w:w="108" w:type="dxa"/>
            <w:bottom w:w="0" w:type="dxa"/>
            <w:right w:w="108" w:type="dxa"/>
          </w:tblCellMar>
        </w:tblPrEx>
        <w:trPr>
          <w:trHeight w:val="399" w:hRule="atLeast"/>
          <w:jc w:val="center"/>
        </w:trPr>
        <w:tc>
          <w:tcPr>
            <w:tcW w:w="786"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12</w:t>
            </w:r>
          </w:p>
        </w:tc>
        <w:tc>
          <w:tcPr>
            <w:tcW w:w="2819"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偏离说明</w:t>
            </w:r>
          </w:p>
        </w:tc>
        <w:tc>
          <w:tcPr>
            <w:tcW w:w="9395" w:type="dxa"/>
            <w:gridSpan w:val="7"/>
            <w:tcBorders>
              <w:top w:val="nil"/>
              <w:left w:val="nil"/>
              <w:bottom w:val="single" w:color="auto" w:sz="4" w:space="0"/>
              <w:right w:val="single" w:color="auto" w:sz="4" w:space="0"/>
            </w:tcBorders>
            <w:shd w:val="clear" w:color="auto" w:fill="auto"/>
            <w:noWrap/>
            <w:vAlign w:val="center"/>
          </w:tcPr>
          <w:p>
            <w:pPr>
              <w:widowControl/>
              <w:rPr>
                <w:rFonts w:ascii="宋体" w:hAnsi="宋体" w:cs="宋体"/>
                <w:color w:val="000000"/>
                <w:kern w:val="0"/>
                <w:sz w:val="20"/>
                <w:szCs w:val="18"/>
              </w:rPr>
            </w:pPr>
          </w:p>
        </w:tc>
      </w:tr>
      <w:tr>
        <w:tblPrEx>
          <w:tblCellMar>
            <w:top w:w="0" w:type="dxa"/>
            <w:left w:w="108" w:type="dxa"/>
            <w:bottom w:w="0" w:type="dxa"/>
            <w:right w:w="108" w:type="dxa"/>
          </w:tblCellMar>
        </w:tblPrEx>
        <w:trPr>
          <w:trHeight w:val="399" w:hRule="atLeast"/>
          <w:jc w:val="center"/>
        </w:trPr>
        <w:tc>
          <w:tcPr>
            <w:tcW w:w="13000" w:type="dxa"/>
            <w:gridSpan w:val="9"/>
            <w:tcBorders>
              <w:top w:val="single" w:color="auto" w:sz="4" w:space="0"/>
              <w:left w:val="single" w:color="auto" w:sz="4" w:space="0"/>
              <w:bottom w:val="single" w:color="auto" w:sz="4" w:space="0"/>
              <w:right w:val="single" w:color="auto" w:sz="4" w:space="0"/>
            </w:tcBorders>
            <w:shd w:val="clear" w:color="auto" w:fill="auto"/>
            <w:noWrap/>
            <w:vAlign w:val="center"/>
          </w:tcPr>
          <w:p>
            <w:pPr>
              <w:spacing w:line="360" w:lineRule="auto"/>
              <w:rPr>
                <w:rFonts w:ascii="仿宋_GB2312" w:hAnsi="仿宋_GB2312" w:eastAsia="仿宋_GB2312" w:cs="仿宋_GB2312"/>
                <w:sz w:val="24"/>
              </w:rPr>
            </w:pPr>
            <w:r>
              <w:rPr>
                <w:rFonts w:hint="eastAsia" w:ascii="宋体" w:hAnsi="宋体" w:cs="宋体"/>
                <w:color w:val="000000"/>
                <w:kern w:val="0"/>
                <w:sz w:val="20"/>
                <w:szCs w:val="18"/>
              </w:rPr>
              <w:t>说明：</w:t>
            </w:r>
            <w:r>
              <w:rPr>
                <w:rFonts w:hint="eastAsia" w:ascii="仿宋_GB2312" w:hAnsi="仿宋_GB2312" w:eastAsia="仿宋_GB2312" w:cs="仿宋_GB2312"/>
                <w:sz w:val="24"/>
              </w:rPr>
              <w:t>1、税率栏填写时要具体明确税率且为增值税专用发票；</w:t>
            </w:r>
          </w:p>
          <w:p>
            <w:pPr>
              <w:spacing w:line="360" w:lineRule="auto"/>
              <w:rPr>
                <w:rFonts w:ascii="仿宋_GB2312" w:hAnsi="仿宋_GB2312" w:eastAsia="仿宋_GB2312" w:cs="仿宋_GB2312"/>
                <w:sz w:val="24"/>
              </w:rPr>
            </w:pPr>
            <w:r>
              <w:rPr>
                <w:rFonts w:hint="eastAsia" w:ascii="仿宋_GB2312" w:hAnsi="仿宋_GB2312" w:eastAsia="仿宋_GB2312" w:cs="仿宋_GB2312"/>
                <w:sz w:val="24"/>
              </w:rPr>
              <w:t>2、以上报价包含材料费、制作安装人工费、运输费、管理费及增值税金；</w:t>
            </w:r>
          </w:p>
          <w:p>
            <w:pPr>
              <w:spacing w:line="360" w:lineRule="auto"/>
              <w:rPr>
                <w:rFonts w:ascii="仿宋_GB2312" w:hAnsi="仿宋_GB2312" w:eastAsia="仿宋_GB2312" w:cs="仿宋_GB2312"/>
                <w:sz w:val="24"/>
              </w:rPr>
            </w:pPr>
            <w:r>
              <w:rPr>
                <w:rFonts w:hint="eastAsia" w:ascii="仿宋_GB2312" w:hAnsi="仿宋_GB2312" w:eastAsia="仿宋_GB2312" w:cs="仿宋_GB2312"/>
                <w:sz w:val="24"/>
              </w:rPr>
              <w:t>3、</w:t>
            </w:r>
            <w:r>
              <w:rPr>
                <w:rFonts w:hint="default" w:ascii="仿宋_GB2312" w:hAnsi="仿宋_GB2312" w:eastAsia="仿宋_GB2312" w:cs="仿宋_GB2312"/>
                <w:sz w:val="24"/>
              </w:rPr>
              <w:t>12月31日前</w:t>
            </w:r>
            <w:bookmarkStart w:id="0" w:name="_GoBack"/>
            <w:bookmarkEnd w:id="0"/>
            <w:r>
              <w:rPr>
                <w:rFonts w:hint="eastAsia" w:ascii="仿宋_GB2312" w:hAnsi="仿宋_GB2312" w:eastAsia="仿宋_GB2312" w:cs="仿宋_GB2312"/>
                <w:sz w:val="24"/>
              </w:rPr>
              <w:t>以上广告牌全部安装验收完成，且必须达到招标单位提供的效果图要求；</w:t>
            </w:r>
          </w:p>
          <w:p>
            <w:pPr>
              <w:rPr>
                <w:rFonts w:ascii="仿宋_GB2312" w:hAnsi="仿宋_GB2312" w:eastAsia="仿宋_GB2312" w:cs="仿宋_GB2312"/>
                <w:sz w:val="24"/>
              </w:rPr>
            </w:pPr>
            <w:r>
              <w:rPr>
                <w:rFonts w:hint="eastAsia" w:ascii="仿宋_GB2312" w:hAnsi="仿宋_GB2312" w:eastAsia="仿宋_GB2312" w:cs="仿宋_GB2312"/>
                <w:sz w:val="24"/>
              </w:rPr>
              <w:t>4、如有疑问，请与李晓会（18856237080）联系。</w:t>
            </w:r>
          </w:p>
        </w:tc>
      </w:tr>
      <w:tr>
        <w:tblPrEx>
          <w:tblCellMar>
            <w:top w:w="0" w:type="dxa"/>
            <w:left w:w="108" w:type="dxa"/>
            <w:bottom w:w="0" w:type="dxa"/>
            <w:right w:w="108" w:type="dxa"/>
          </w:tblCellMar>
        </w:tblPrEx>
        <w:trPr>
          <w:trHeight w:val="977" w:hRule="atLeast"/>
          <w:jc w:val="center"/>
        </w:trPr>
        <w:tc>
          <w:tcPr>
            <w:tcW w:w="6314" w:type="dxa"/>
            <w:gridSpan w:val="3"/>
            <w:vMerge w:val="restart"/>
            <w:tcBorders>
              <w:top w:val="single" w:color="auto" w:sz="4" w:space="0"/>
              <w:left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20"/>
              </w:rPr>
            </w:pPr>
            <w:r>
              <w:rPr>
                <w:rFonts w:hint="eastAsia" w:ascii="宋体" w:hAnsi="宋体" w:cs="宋体"/>
                <w:color w:val="000000"/>
                <w:kern w:val="0"/>
                <w:sz w:val="20"/>
                <w:szCs w:val="20"/>
              </w:rPr>
              <w:t>投标人单位（公章）</w:t>
            </w:r>
          </w:p>
        </w:tc>
        <w:tc>
          <w:tcPr>
            <w:tcW w:w="3508" w:type="dxa"/>
            <w:gridSpan w:val="3"/>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r>
              <w:rPr>
                <w:rFonts w:hint="eastAsia" w:ascii="宋体" w:hAnsi="宋体" w:cs="宋体"/>
                <w:color w:val="000000"/>
                <w:kern w:val="0"/>
                <w:sz w:val="20"/>
                <w:szCs w:val="18"/>
              </w:rPr>
              <w:t>法定代表人或授权代理人</w:t>
            </w:r>
          </w:p>
        </w:tc>
        <w:tc>
          <w:tcPr>
            <w:tcW w:w="3178" w:type="dxa"/>
            <w:gridSpan w:val="3"/>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18"/>
              </w:rPr>
            </w:pPr>
          </w:p>
        </w:tc>
      </w:tr>
      <w:tr>
        <w:tblPrEx>
          <w:tblCellMar>
            <w:top w:w="0" w:type="dxa"/>
            <w:left w:w="108" w:type="dxa"/>
            <w:bottom w:w="0" w:type="dxa"/>
            <w:right w:w="108" w:type="dxa"/>
          </w:tblCellMar>
        </w:tblPrEx>
        <w:trPr>
          <w:trHeight w:val="991" w:hRule="atLeast"/>
          <w:jc w:val="center"/>
        </w:trPr>
        <w:tc>
          <w:tcPr>
            <w:tcW w:w="6314" w:type="dxa"/>
            <w:gridSpan w:val="3"/>
            <w:vMerge w:val="continue"/>
            <w:tcBorders>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20"/>
              </w:rPr>
            </w:pPr>
          </w:p>
        </w:tc>
        <w:tc>
          <w:tcPr>
            <w:tcW w:w="3508" w:type="dxa"/>
            <w:gridSpan w:val="3"/>
            <w:tcBorders>
              <w:top w:val="nil"/>
              <w:left w:val="nil"/>
              <w:bottom w:val="single" w:color="auto" w:sz="4" w:space="0"/>
              <w:right w:val="single" w:color="auto" w:sz="4" w:space="0"/>
            </w:tcBorders>
            <w:shd w:val="clear" w:color="auto" w:fill="auto"/>
            <w:noWrap/>
            <w:vAlign w:val="center"/>
          </w:tcPr>
          <w:p>
            <w:pPr>
              <w:widowControl/>
              <w:rPr>
                <w:rFonts w:ascii="宋体" w:hAnsi="宋体" w:cs="宋体"/>
                <w:color w:val="000000"/>
                <w:kern w:val="0"/>
                <w:sz w:val="20"/>
                <w:szCs w:val="18"/>
              </w:rPr>
            </w:pPr>
            <w:r>
              <w:rPr>
                <w:rFonts w:hint="eastAsia" w:ascii="宋体" w:hAnsi="宋体" w:cs="宋体"/>
                <w:color w:val="000000"/>
                <w:kern w:val="0"/>
                <w:sz w:val="20"/>
                <w:szCs w:val="18"/>
              </w:rPr>
              <w:t>联系电话：</w:t>
            </w:r>
          </w:p>
        </w:tc>
        <w:tc>
          <w:tcPr>
            <w:tcW w:w="3178" w:type="dxa"/>
            <w:gridSpan w:val="3"/>
            <w:tcBorders>
              <w:top w:val="nil"/>
              <w:left w:val="nil"/>
              <w:bottom w:val="single" w:color="auto" w:sz="4" w:space="0"/>
              <w:right w:val="single" w:color="auto" w:sz="4" w:space="0"/>
            </w:tcBorders>
            <w:shd w:val="clear" w:color="auto" w:fill="auto"/>
            <w:noWrap/>
            <w:vAlign w:val="center"/>
          </w:tcPr>
          <w:p>
            <w:pPr>
              <w:widowControl/>
              <w:rPr>
                <w:rFonts w:ascii="宋体" w:hAnsi="宋体" w:cs="宋体"/>
                <w:color w:val="000000"/>
                <w:kern w:val="0"/>
                <w:sz w:val="20"/>
                <w:szCs w:val="18"/>
              </w:rPr>
            </w:pPr>
            <w:r>
              <w:rPr>
                <w:rFonts w:hint="eastAsia" w:ascii="宋体" w:hAnsi="宋体" w:cs="宋体"/>
                <w:color w:val="000000"/>
                <w:kern w:val="0"/>
                <w:sz w:val="20"/>
                <w:szCs w:val="18"/>
              </w:rPr>
              <w:t>邮箱：</w:t>
            </w:r>
          </w:p>
        </w:tc>
      </w:tr>
    </w:tbl>
    <w:p>
      <w:pPr>
        <w:spacing w:line="120" w:lineRule="auto"/>
        <w:jc w:val="left"/>
        <w:rPr>
          <w:rFonts w:ascii="仿宋" w:hAnsi="仿宋" w:eastAsia="仿宋" w:cs="仿宋_GB2312"/>
          <w:b/>
          <w:bCs/>
          <w:sz w:val="32"/>
          <w:szCs w:val="32"/>
        </w:rPr>
      </w:pPr>
    </w:p>
    <w:p/>
    <w:p/>
    <w:p/>
    <w:p/>
    <w:p/>
    <w:p/>
    <w:p/>
    <w:p/>
    <w:p/>
    <w:p/>
    <w:p/>
    <w:p/>
    <w:p/>
    <w:p/>
    <w:p/>
    <w:p/>
    <w:p/>
    <w:p/>
    <w:p/>
    <w:p>
      <w:pPr>
        <w:sectPr>
          <w:pgSz w:w="16838" w:h="11906" w:orient="landscape"/>
          <w:pgMar w:top="720" w:right="720" w:bottom="720" w:left="720" w:header="851" w:footer="992" w:gutter="0"/>
          <w:cols w:space="425" w:num="1"/>
          <w:docGrid w:type="linesAndChars" w:linePitch="312" w:charSpace="0"/>
        </w:sectPr>
      </w:pPr>
    </w:p>
    <w:p>
      <w:r>
        <w:rPr>
          <w:rFonts w:hint="eastAsia"/>
        </w:rPr>
        <w:t>效果图：</w:t>
      </w:r>
    </w:p>
    <w:p>
      <w:pPr>
        <w:spacing w:line="360" w:lineRule="auto"/>
        <w:ind w:left="567"/>
        <w:jc w:val="left"/>
        <w:rPr>
          <w:rFonts w:ascii="仿宋_GB2312" w:hAnsi="宋体" w:eastAsia="仿宋_GB2312"/>
          <w:b/>
          <w:sz w:val="32"/>
          <w:szCs w:val="32"/>
        </w:rPr>
      </w:pPr>
      <w:r>
        <w:rPr>
          <w:rFonts w:hint="eastAsia" w:ascii="仿宋_GB2312" w:hAnsi="宋体" w:eastAsia="仿宋_GB2312"/>
          <w:b/>
          <w:sz w:val="32"/>
          <w:szCs w:val="32"/>
        </w:rPr>
        <w:t>效果图</w:t>
      </w:r>
    </w:p>
    <w:p>
      <w:pPr>
        <w:spacing w:line="360" w:lineRule="auto"/>
        <w:ind w:left="567"/>
        <w:jc w:val="left"/>
        <w:rPr>
          <w:rFonts w:ascii="仿宋_GB2312" w:hAnsi="宋体" w:eastAsia="仿宋_GB2312"/>
          <w:b/>
          <w:sz w:val="32"/>
          <w:szCs w:val="32"/>
        </w:rPr>
      </w:pPr>
      <w:r>
        <w:drawing>
          <wp:anchor distT="0" distB="0" distL="114300" distR="114300" simplePos="0" relativeHeight="251666432" behindDoc="0" locked="0" layoutInCell="1" allowOverlap="1">
            <wp:simplePos x="0" y="0"/>
            <wp:positionH relativeFrom="column">
              <wp:posOffset>85725</wp:posOffset>
            </wp:positionH>
            <wp:positionV relativeFrom="paragraph">
              <wp:posOffset>390525</wp:posOffset>
            </wp:positionV>
            <wp:extent cx="6803390" cy="1708785"/>
            <wp:effectExtent l="0" t="0" r="0" b="5715"/>
            <wp:wrapNone/>
            <wp:docPr id="1027" name="图片 8"/>
            <wp:cNvGraphicFramePr/>
            <a:graphic xmlns:a="http://schemas.openxmlformats.org/drawingml/2006/main">
              <a:graphicData uri="http://schemas.openxmlformats.org/drawingml/2006/picture">
                <pic:pic xmlns:pic="http://schemas.openxmlformats.org/drawingml/2006/picture">
                  <pic:nvPicPr>
                    <pic:cNvPr id="1027" name="图片 8"/>
                    <pic:cNvPicPr/>
                  </pic:nvPicPr>
                  <pic:blipFill>
                    <a:blip r:embed="rId4" cstate="print">
                      <a:extLst>
                        <a:ext uri="{28A0092B-C50C-407E-A947-70E740481C1C}">
                          <a14:useLocalDpi xmlns:a14="http://schemas.microsoft.com/office/drawing/2010/main" val="0"/>
                        </a:ext>
                      </a:extLst>
                    </a:blip>
                    <a:srcRect/>
                    <a:stretch>
                      <a:fillRect/>
                    </a:stretch>
                  </pic:blipFill>
                  <pic:spPr>
                    <a:xfrm>
                      <a:off x="0" y="0"/>
                      <a:ext cx="6803390" cy="1708785"/>
                    </a:xfrm>
                    <a:prstGeom prst="rect">
                      <a:avLst/>
                    </a:prstGeom>
                  </pic:spPr>
                </pic:pic>
              </a:graphicData>
            </a:graphic>
          </wp:anchor>
        </w:drawing>
      </w:r>
      <w:r>
        <w:rPr>
          <w:rFonts w:hint="eastAsia" w:ascii="仿宋_GB2312" w:hAnsi="宋体" w:eastAsia="仿宋_GB2312"/>
          <w:b/>
          <w:sz w:val="32"/>
          <w:szCs w:val="32"/>
        </w:rPr>
        <w:t>（一）生态文化园展板效果图（2块）</w:t>
      </w:r>
    </w:p>
    <w:p>
      <w:pPr>
        <w:spacing w:line="360" w:lineRule="auto"/>
        <w:jc w:val="center"/>
        <w:rPr>
          <w:rFonts w:ascii="仿宋_GB2312" w:hAnsi="宋体" w:eastAsia="仿宋_GB2312"/>
          <w:sz w:val="32"/>
          <w:szCs w:val="32"/>
        </w:rPr>
      </w:pPr>
    </w:p>
    <w:p>
      <w:pPr>
        <w:spacing w:line="360" w:lineRule="auto"/>
        <w:jc w:val="center"/>
        <w:rPr>
          <w:rFonts w:ascii="仿宋_GB2312" w:hAnsi="宋体" w:eastAsia="仿宋_GB2312"/>
          <w:sz w:val="32"/>
          <w:szCs w:val="32"/>
        </w:rPr>
      </w:pPr>
    </w:p>
    <w:p>
      <w:pPr>
        <w:spacing w:line="360" w:lineRule="auto"/>
        <w:jc w:val="left"/>
        <w:rPr>
          <w:rFonts w:ascii="仿宋_GB2312" w:hAnsi="宋体" w:eastAsia="仿宋_GB2312"/>
          <w:b/>
          <w:sz w:val="32"/>
          <w:szCs w:val="32"/>
        </w:rPr>
      </w:pPr>
    </w:p>
    <w:p>
      <w:pPr>
        <w:spacing w:line="360" w:lineRule="auto"/>
        <w:jc w:val="left"/>
        <w:rPr>
          <w:rFonts w:ascii="仿宋_GB2312" w:hAnsi="宋体" w:eastAsia="仿宋_GB2312"/>
          <w:b/>
          <w:sz w:val="32"/>
          <w:szCs w:val="32"/>
        </w:rPr>
      </w:pPr>
    </w:p>
    <w:p>
      <w:pPr>
        <w:spacing w:line="360" w:lineRule="auto"/>
        <w:jc w:val="left"/>
        <w:rPr>
          <w:rFonts w:ascii="仿宋_GB2312" w:hAnsi="宋体" w:eastAsia="仿宋_GB2312"/>
          <w:b/>
          <w:sz w:val="32"/>
          <w:szCs w:val="32"/>
        </w:rPr>
      </w:pPr>
      <w:r>
        <w:rPr>
          <w:rFonts w:ascii="仿宋_GB2312" w:hAnsi="宋体" w:eastAsia="仿宋_GB2312"/>
          <w:sz w:val="32"/>
          <w:szCs w:val="32"/>
        </w:rPr>
        <w:drawing>
          <wp:anchor distT="0" distB="0" distL="114300" distR="114300" simplePos="0" relativeHeight="251667456" behindDoc="0" locked="0" layoutInCell="1" allowOverlap="1">
            <wp:simplePos x="0" y="0"/>
            <wp:positionH relativeFrom="column">
              <wp:posOffset>29210</wp:posOffset>
            </wp:positionH>
            <wp:positionV relativeFrom="paragraph">
              <wp:posOffset>314960</wp:posOffset>
            </wp:positionV>
            <wp:extent cx="6804025" cy="3631565"/>
            <wp:effectExtent l="0" t="0" r="0" b="7620"/>
            <wp:wrapNone/>
            <wp:docPr id="1028" name="图片 16"/>
            <wp:cNvGraphicFramePr/>
            <a:graphic xmlns:a="http://schemas.openxmlformats.org/drawingml/2006/main">
              <a:graphicData uri="http://schemas.openxmlformats.org/drawingml/2006/picture">
                <pic:pic xmlns:pic="http://schemas.openxmlformats.org/drawingml/2006/picture">
                  <pic:nvPicPr>
                    <pic:cNvPr id="1028" name="图片 16"/>
                    <pic:cNvPicPr/>
                  </pic:nvPicPr>
                  <pic:blipFill>
                    <a:blip r:embed="rId5" cstate="print">
                      <a:extLst>
                        <a:ext uri="{28A0092B-C50C-407E-A947-70E740481C1C}">
                          <a14:useLocalDpi xmlns:a14="http://schemas.microsoft.com/office/drawing/2010/main" val="0"/>
                        </a:ext>
                      </a:extLst>
                    </a:blip>
                    <a:srcRect/>
                    <a:stretch>
                      <a:fillRect/>
                    </a:stretch>
                  </pic:blipFill>
                  <pic:spPr>
                    <a:xfrm>
                      <a:off x="0" y="0"/>
                      <a:ext cx="6804000" cy="3631258"/>
                    </a:xfrm>
                    <a:prstGeom prst="rect">
                      <a:avLst/>
                    </a:prstGeom>
                  </pic:spPr>
                </pic:pic>
              </a:graphicData>
            </a:graphic>
          </wp:anchor>
        </w:drawing>
      </w:r>
    </w:p>
    <w:p>
      <w:pPr>
        <w:spacing w:line="360" w:lineRule="auto"/>
        <w:jc w:val="left"/>
        <w:rPr>
          <w:rFonts w:ascii="仿宋_GB2312" w:hAnsi="宋体" w:eastAsia="仿宋_GB2312"/>
          <w:b/>
          <w:sz w:val="32"/>
          <w:szCs w:val="32"/>
        </w:rPr>
      </w:pPr>
    </w:p>
    <w:p>
      <w:pPr>
        <w:spacing w:line="360" w:lineRule="auto"/>
        <w:jc w:val="left"/>
        <w:rPr>
          <w:rFonts w:ascii="仿宋_GB2312" w:hAnsi="宋体" w:eastAsia="仿宋_GB2312"/>
          <w:b/>
          <w:sz w:val="32"/>
          <w:szCs w:val="32"/>
        </w:rPr>
      </w:pPr>
    </w:p>
    <w:p>
      <w:pPr>
        <w:spacing w:line="360" w:lineRule="auto"/>
        <w:jc w:val="left"/>
        <w:rPr>
          <w:rFonts w:ascii="仿宋_GB2312" w:hAnsi="宋体" w:eastAsia="仿宋_GB2312"/>
          <w:b/>
          <w:sz w:val="32"/>
          <w:szCs w:val="32"/>
        </w:rPr>
      </w:pPr>
    </w:p>
    <w:p>
      <w:pPr>
        <w:spacing w:line="360" w:lineRule="auto"/>
        <w:jc w:val="left"/>
        <w:rPr>
          <w:rFonts w:ascii="仿宋_GB2312" w:hAnsi="宋体" w:eastAsia="仿宋_GB2312"/>
          <w:b/>
          <w:sz w:val="32"/>
          <w:szCs w:val="32"/>
        </w:rPr>
      </w:pPr>
    </w:p>
    <w:p>
      <w:pPr>
        <w:spacing w:line="360" w:lineRule="auto"/>
        <w:jc w:val="left"/>
        <w:rPr>
          <w:rFonts w:ascii="仿宋_GB2312" w:hAnsi="宋体" w:eastAsia="仿宋_GB2312"/>
          <w:b/>
          <w:sz w:val="32"/>
          <w:szCs w:val="32"/>
        </w:rPr>
      </w:pPr>
    </w:p>
    <w:p>
      <w:pPr>
        <w:spacing w:line="360" w:lineRule="auto"/>
        <w:jc w:val="left"/>
        <w:rPr>
          <w:rFonts w:ascii="仿宋_GB2312" w:hAnsi="宋体" w:eastAsia="仿宋_GB2312"/>
          <w:b/>
          <w:sz w:val="32"/>
          <w:szCs w:val="32"/>
        </w:rPr>
      </w:pPr>
    </w:p>
    <w:p>
      <w:pPr>
        <w:spacing w:line="360" w:lineRule="auto"/>
        <w:jc w:val="left"/>
        <w:rPr>
          <w:rFonts w:ascii="仿宋_GB2312" w:hAnsi="宋体" w:eastAsia="仿宋_GB2312"/>
          <w:b/>
          <w:sz w:val="32"/>
          <w:szCs w:val="32"/>
        </w:rPr>
      </w:pPr>
    </w:p>
    <w:p>
      <w:pPr>
        <w:spacing w:line="360" w:lineRule="auto"/>
        <w:ind w:firstLine="320" w:firstLineChars="100"/>
        <w:jc w:val="left"/>
        <w:rPr>
          <w:rFonts w:ascii="仿宋_GB2312" w:hAnsi="宋体" w:eastAsia="仿宋_GB2312"/>
          <w:b/>
          <w:sz w:val="32"/>
          <w:szCs w:val="32"/>
        </w:rPr>
      </w:pPr>
    </w:p>
    <w:p>
      <w:pPr>
        <w:spacing w:line="360" w:lineRule="auto"/>
        <w:ind w:firstLine="320" w:firstLineChars="100"/>
        <w:jc w:val="left"/>
        <w:rPr>
          <w:rFonts w:ascii="仿宋_GB2312" w:hAnsi="宋体" w:eastAsia="仿宋_GB2312"/>
          <w:b/>
          <w:sz w:val="32"/>
          <w:szCs w:val="32"/>
        </w:rPr>
      </w:pPr>
    </w:p>
    <w:p>
      <w:pPr>
        <w:spacing w:line="360" w:lineRule="auto"/>
        <w:ind w:firstLine="320" w:firstLineChars="100"/>
        <w:jc w:val="left"/>
        <w:rPr>
          <w:rFonts w:ascii="仿宋_GB2312" w:hAnsi="宋体" w:eastAsia="仿宋_GB2312"/>
          <w:b/>
          <w:sz w:val="32"/>
          <w:szCs w:val="32"/>
        </w:rPr>
      </w:pPr>
      <w:r>
        <w:rPr>
          <w:rFonts w:hint="eastAsia" w:ascii="仿宋_GB2312" w:hAnsi="宋体" w:eastAsia="仿宋_GB2312"/>
          <w:b/>
          <w:sz w:val="32"/>
          <w:szCs w:val="32"/>
        </w:rPr>
        <w:t>（二）储备用地二期建设规划广告牌</w:t>
      </w:r>
    </w:p>
    <w:p>
      <w:pPr>
        <w:spacing w:line="360" w:lineRule="auto"/>
        <w:jc w:val="left"/>
        <w:rPr>
          <w:rFonts w:ascii="仿宋_GB2312" w:hAnsi="宋体" w:eastAsia="仿宋_GB2312"/>
          <w:b/>
          <w:sz w:val="32"/>
          <w:szCs w:val="32"/>
        </w:rPr>
      </w:pPr>
      <w:r>
        <w:rPr>
          <w:rFonts w:ascii="仿宋_GB2312" w:hAnsi="宋体" w:eastAsia="仿宋_GB2312"/>
          <w:b/>
          <w:sz w:val="32"/>
          <w:szCs w:val="32"/>
        </w:rPr>
        <w:drawing>
          <wp:inline distT="0" distB="0" distL="0" distR="0">
            <wp:extent cx="6643370" cy="2743200"/>
            <wp:effectExtent l="0" t="0" r="508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0" y="0"/>
                      <a:ext cx="6645910" cy="2744249"/>
                    </a:xfrm>
                    <a:prstGeom prst="rect">
                      <a:avLst/>
                    </a:prstGeom>
                  </pic:spPr>
                </pic:pic>
              </a:graphicData>
            </a:graphic>
          </wp:inline>
        </w:drawing>
      </w:r>
    </w:p>
    <w:p>
      <w:pPr>
        <w:spacing w:line="360" w:lineRule="auto"/>
        <w:jc w:val="left"/>
        <w:rPr>
          <w:rFonts w:ascii="仿宋_GB2312" w:hAnsi="宋体" w:eastAsia="仿宋_GB2312"/>
          <w:b/>
          <w:sz w:val="32"/>
          <w:szCs w:val="32"/>
        </w:rPr>
      </w:pPr>
      <w:r>
        <w:rPr>
          <w:rFonts w:ascii="仿宋_GB2312" w:hAnsi="宋体" w:eastAsia="仿宋_GB2312"/>
          <w:b/>
          <w:sz w:val="32"/>
          <w:szCs w:val="32"/>
        </w:rPr>
        <w:drawing>
          <wp:inline distT="0" distB="0" distL="0" distR="0">
            <wp:extent cx="6644640" cy="4785360"/>
            <wp:effectExtent l="0" t="0" r="381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6645910" cy="4786275"/>
                    </a:xfrm>
                    <a:prstGeom prst="rect">
                      <a:avLst/>
                    </a:prstGeom>
                  </pic:spPr>
                </pic:pic>
              </a:graphicData>
            </a:graphic>
          </wp:inline>
        </w:drawing>
      </w:r>
    </w:p>
    <w:p>
      <w:pPr>
        <w:spacing w:line="360" w:lineRule="auto"/>
        <w:jc w:val="left"/>
        <w:rPr>
          <w:rFonts w:ascii="仿宋_GB2312" w:hAnsi="宋体" w:eastAsia="仿宋_GB2312"/>
          <w:b/>
          <w:bCs/>
          <w:sz w:val="32"/>
          <w:szCs w:val="32"/>
        </w:rPr>
      </w:pPr>
      <w:r>
        <w:rPr>
          <w:rFonts w:hint="eastAsia" w:ascii="仿宋_GB2312" w:hAnsi="宋体" w:eastAsia="仿宋_GB2312"/>
          <w:b/>
          <w:bCs/>
          <w:sz w:val="32"/>
          <w:szCs w:val="32"/>
        </w:rPr>
        <w:t>（三）厂内行车宣传标语牌</w:t>
      </w:r>
    </w:p>
    <w:p>
      <w:pPr>
        <w:spacing w:line="360" w:lineRule="auto"/>
        <w:jc w:val="center"/>
        <w:rPr>
          <w:rFonts w:ascii="仿宋_GB2312" w:hAnsi="宋体" w:eastAsia="仿宋_GB2312"/>
          <w:b/>
          <w:sz w:val="32"/>
          <w:szCs w:val="32"/>
        </w:rPr>
      </w:pPr>
      <w:r>
        <w:drawing>
          <wp:anchor distT="0" distB="0" distL="114300" distR="114300" simplePos="0" relativeHeight="251659264" behindDoc="0" locked="0" layoutInCell="1" allowOverlap="1">
            <wp:simplePos x="0" y="0"/>
            <wp:positionH relativeFrom="column">
              <wp:posOffset>-13970</wp:posOffset>
            </wp:positionH>
            <wp:positionV relativeFrom="paragraph">
              <wp:posOffset>1905</wp:posOffset>
            </wp:positionV>
            <wp:extent cx="6804025" cy="4147185"/>
            <wp:effectExtent l="0" t="0" r="0" b="5715"/>
            <wp:wrapNone/>
            <wp:docPr id="1038" name="Image1"/>
            <wp:cNvGraphicFramePr/>
            <a:graphic xmlns:a="http://schemas.openxmlformats.org/drawingml/2006/main">
              <a:graphicData uri="http://schemas.openxmlformats.org/drawingml/2006/picture">
                <pic:pic xmlns:pic="http://schemas.openxmlformats.org/drawingml/2006/picture">
                  <pic:nvPicPr>
                    <pic:cNvPr id="1038" name="Image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6804000" cy="4147457"/>
                    </a:xfrm>
                    <a:prstGeom prst="rect">
                      <a:avLst/>
                    </a:prstGeom>
                  </pic:spPr>
                </pic:pic>
              </a:graphicData>
            </a:graphic>
          </wp:anchor>
        </w:drawing>
      </w:r>
    </w:p>
    <w:p>
      <w:pPr>
        <w:spacing w:line="360" w:lineRule="auto"/>
        <w:jc w:val="left"/>
        <w:rPr>
          <w:rFonts w:ascii="仿宋_GB2312" w:hAnsi="宋体" w:eastAsia="仿宋_GB2312"/>
          <w:b/>
          <w:sz w:val="32"/>
          <w:szCs w:val="32"/>
        </w:rPr>
      </w:pPr>
    </w:p>
    <w:p>
      <w:pPr>
        <w:spacing w:line="360" w:lineRule="auto"/>
        <w:jc w:val="left"/>
        <w:rPr>
          <w:rFonts w:ascii="仿宋_GB2312" w:hAnsi="宋体" w:eastAsia="仿宋_GB2312"/>
          <w:sz w:val="32"/>
          <w:szCs w:val="32"/>
        </w:rPr>
      </w:pPr>
    </w:p>
    <w:p>
      <w:pPr>
        <w:spacing w:line="360" w:lineRule="auto"/>
        <w:jc w:val="left"/>
        <w:rPr>
          <w:rFonts w:ascii="仿宋_GB2312" w:hAnsi="宋体" w:eastAsia="仿宋_GB2312"/>
          <w:sz w:val="32"/>
          <w:szCs w:val="32"/>
        </w:rPr>
      </w:pPr>
    </w:p>
    <w:p>
      <w:pPr>
        <w:spacing w:line="360" w:lineRule="auto"/>
        <w:jc w:val="left"/>
        <w:rPr>
          <w:rFonts w:ascii="仿宋_GB2312" w:hAnsi="宋体" w:eastAsia="仿宋_GB2312"/>
          <w:sz w:val="32"/>
          <w:szCs w:val="32"/>
        </w:rPr>
      </w:pPr>
    </w:p>
    <w:p>
      <w:pPr>
        <w:spacing w:line="360" w:lineRule="auto"/>
        <w:jc w:val="left"/>
        <w:rPr>
          <w:rFonts w:ascii="仿宋_GB2312" w:hAnsi="宋体" w:eastAsia="仿宋_GB2312"/>
          <w:sz w:val="32"/>
          <w:szCs w:val="32"/>
        </w:rPr>
      </w:pPr>
    </w:p>
    <w:p>
      <w:pPr>
        <w:spacing w:line="360" w:lineRule="auto"/>
        <w:jc w:val="left"/>
        <w:rPr>
          <w:rFonts w:ascii="仿宋_GB2312" w:hAnsi="宋体" w:eastAsia="仿宋_GB2312"/>
          <w:sz w:val="32"/>
          <w:szCs w:val="32"/>
        </w:rPr>
      </w:pPr>
    </w:p>
    <w:p>
      <w:pPr>
        <w:spacing w:line="360" w:lineRule="auto"/>
        <w:jc w:val="left"/>
        <w:rPr>
          <w:rFonts w:ascii="仿宋_GB2312" w:hAnsi="宋体" w:eastAsia="仿宋_GB2312"/>
          <w:sz w:val="32"/>
          <w:szCs w:val="32"/>
        </w:rPr>
      </w:pPr>
    </w:p>
    <w:p>
      <w:pPr>
        <w:spacing w:line="360" w:lineRule="auto"/>
        <w:jc w:val="left"/>
        <w:rPr>
          <w:rFonts w:ascii="仿宋_GB2312" w:hAnsi="宋体" w:eastAsia="仿宋_GB2312"/>
          <w:sz w:val="32"/>
          <w:szCs w:val="32"/>
        </w:rPr>
      </w:pPr>
    </w:p>
    <w:p>
      <w:pPr>
        <w:spacing w:line="360" w:lineRule="auto"/>
        <w:jc w:val="left"/>
        <w:rPr>
          <w:rFonts w:ascii="仿宋_GB2312" w:hAnsi="宋体" w:eastAsia="仿宋_GB2312"/>
          <w:sz w:val="32"/>
          <w:szCs w:val="32"/>
        </w:rPr>
      </w:pPr>
    </w:p>
    <w:p>
      <w:pPr>
        <w:spacing w:line="360" w:lineRule="auto"/>
        <w:jc w:val="left"/>
        <w:rPr>
          <w:rFonts w:ascii="仿宋_GB2312" w:hAnsi="宋体" w:eastAsia="仿宋_GB2312"/>
          <w:b/>
          <w:bCs/>
          <w:sz w:val="32"/>
          <w:szCs w:val="32"/>
        </w:rPr>
      </w:pPr>
    </w:p>
    <w:p>
      <w:pPr>
        <w:spacing w:line="360" w:lineRule="auto"/>
        <w:jc w:val="left"/>
        <w:rPr>
          <w:rFonts w:ascii="仿宋_GB2312" w:hAnsi="宋体" w:eastAsia="仿宋_GB2312"/>
          <w:b/>
          <w:bCs/>
          <w:sz w:val="32"/>
          <w:szCs w:val="32"/>
        </w:rPr>
      </w:pPr>
    </w:p>
    <w:p>
      <w:pPr>
        <w:spacing w:line="360" w:lineRule="auto"/>
        <w:jc w:val="left"/>
        <w:rPr>
          <w:rFonts w:ascii="仿宋_GB2312" w:hAnsi="宋体" w:eastAsia="仿宋_GB2312"/>
          <w:b/>
          <w:bCs/>
          <w:sz w:val="32"/>
          <w:szCs w:val="32"/>
        </w:rPr>
      </w:pPr>
      <w:r>
        <w:rPr>
          <w:rFonts w:hint="eastAsia" w:ascii="仿宋_GB2312" w:hAnsi="宋体" w:eastAsia="仿宋_GB2312"/>
          <w:b/>
          <w:bCs/>
          <w:sz w:val="32"/>
          <w:szCs w:val="32"/>
        </w:rPr>
        <w:t>（四）钢构生产车间灯箱</w:t>
      </w:r>
    </w:p>
    <w:p>
      <w:pPr>
        <w:jc w:val="center"/>
        <w:rPr>
          <w:rFonts w:ascii="仿宋_GB2312" w:hAnsi="宋体" w:eastAsia="仿宋_GB2312"/>
          <w:sz w:val="32"/>
          <w:szCs w:val="32"/>
        </w:rPr>
      </w:pPr>
      <w:r>
        <w:rPr>
          <w:rFonts w:ascii="华文中宋" w:hAnsi="华文中宋" w:eastAsia="华文中宋" w:cs="华文中宋"/>
          <w:sz w:val="44"/>
          <w:szCs w:val="28"/>
        </w:rPr>
        <w:t>车间</w:t>
      </w:r>
      <w:r>
        <w:rPr>
          <w:rFonts w:hint="eastAsia" w:ascii="华文中宋" w:hAnsi="华文中宋" w:eastAsia="华文中宋" w:cs="华文中宋"/>
          <w:sz w:val="44"/>
          <w:szCs w:val="28"/>
        </w:rPr>
        <w:t>灯箱</w:t>
      </w:r>
      <w:r>
        <w:rPr>
          <w:rFonts w:ascii="华文中宋" w:hAnsi="华文中宋" w:eastAsia="华文中宋" w:cs="华文中宋"/>
          <w:sz w:val="44"/>
          <w:szCs w:val="28"/>
        </w:rPr>
        <w:t>效果图</w:t>
      </w:r>
    </w:p>
    <w:p>
      <w:pPr>
        <w:jc w:val="center"/>
        <w:rPr>
          <w:rFonts w:ascii="仿宋_GB2312" w:hAnsi="宋体" w:eastAsia="仿宋_GB2312"/>
          <w:sz w:val="32"/>
          <w:szCs w:val="32"/>
        </w:rPr>
      </w:pPr>
      <w:r>
        <w:drawing>
          <wp:anchor distT="0" distB="0" distL="114300" distR="114300" simplePos="0" relativeHeight="251660288" behindDoc="0" locked="0" layoutInCell="1" allowOverlap="1">
            <wp:simplePos x="0" y="0"/>
            <wp:positionH relativeFrom="column">
              <wp:posOffset>-323215</wp:posOffset>
            </wp:positionH>
            <wp:positionV relativeFrom="paragraph">
              <wp:posOffset>358140</wp:posOffset>
            </wp:positionV>
            <wp:extent cx="6833235" cy="4371975"/>
            <wp:effectExtent l="0" t="0" r="0" b="0"/>
            <wp:wrapNone/>
            <wp:docPr id="1032" name="Image1"/>
            <wp:cNvGraphicFramePr/>
            <a:graphic xmlns:a="http://schemas.openxmlformats.org/drawingml/2006/main">
              <a:graphicData uri="http://schemas.openxmlformats.org/drawingml/2006/picture">
                <pic:pic xmlns:pic="http://schemas.openxmlformats.org/drawingml/2006/picture">
                  <pic:nvPicPr>
                    <pic:cNvPr id="1032" name="Image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6833235" cy="4371975"/>
                    </a:xfrm>
                    <a:prstGeom prst="rect">
                      <a:avLst/>
                    </a:prstGeom>
                    <a:ln>
                      <a:noFill/>
                    </a:ln>
                  </pic:spPr>
                </pic:pic>
              </a:graphicData>
            </a:graphic>
          </wp:anchor>
        </w:drawing>
      </w:r>
      <w:r>
        <w:rPr>
          <w:rFonts w:ascii="华文中宋" w:hAnsi="华文中宋" w:eastAsia="华文中宋" w:cs="华文中宋"/>
          <w:sz w:val="24"/>
          <w:szCs w:val="28"/>
        </w:rPr>
        <w:t>一、防腐区域墙面左右两边各一个灯箱（尺寸：10m*1.6m）</w:t>
      </w:r>
    </w:p>
    <w:p>
      <w:pPr>
        <w:jc w:val="center"/>
        <w:rPr>
          <w:rFonts w:ascii="仿宋_GB2312" w:hAnsi="宋体" w:eastAsia="仿宋_GB2312"/>
          <w:sz w:val="32"/>
          <w:szCs w:val="32"/>
        </w:rPr>
      </w:pPr>
    </w:p>
    <w:p>
      <w:pPr>
        <w:jc w:val="center"/>
        <w:rPr>
          <w:rFonts w:ascii="仿宋_GB2312" w:hAnsi="宋体" w:eastAsia="仿宋_GB2312"/>
          <w:sz w:val="32"/>
          <w:szCs w:val="32"/>
        </w:rPr>
      </w:pPr>
    </w:p>
    <w:p>
      <w:pPr>
        <w:jc w:val="center"/>
        <w:rPr>
          <w:rFonts w:ascii="仿宋_GB2312" w:hAnsi="宋体" w:eastAsia="仿宋_GB2312"/>
          <w:sz w:val="32"/>
          <w:szCs w:val="32"/>
        </w:rPr>
      </w:pPr>
    </w:p>
    <w:p>
      <w:pPr>
        <w:jc w:val="center"/>
        <w:rPr>
          <w:rFonts w:ascii="仿宋_GB2312" w:hAnsi="宋体" w:eastAsia="仿宋_GB2312"/>
          <w:sz w:val="32"/>
          <w:szCs w:val="32"/>
        </w:rPr>
      </w:pPr>
    </w:p>
    <w:p>
      <w:pPr>
        <w:jc w:val="center"/>
        <w:rPr>
          <w:rFonts w:ascii="仿宋_GB2312" w:hAnsi="宋体" w:eastAsia="仿宋_GB2312"/>
          <w:sz w:val="32"/>
          <w:szCs w:val="32"/>
        </w:rPr>
      </w:pPr>
    </w:p>
    <w:p>
      <w:pPr>
        <w:jc w:val="center"/>
        <w:rPr>
          <w:rFonts w:ascii="仿宋_GB2312" w:hAnsi="宋体" w:eastAsia="仿宋_GB2312"/>
          <w:sz w:val="32"/>
          <w:szCs w:val="32"/>
        </w:rPr>
      </w:pPr>
    </w:p>
    <w:p>
      <w:pPr>
        <w:jc w:val="center"/>
        <w:rPr>
          <w:rFonts w:ascii="仿宋_GB2312" w:hAnsi="宋体" w:eastAsia="仿宋_GB2312"/>
          <w:sz w:val="32"/>
          <w:szCs w:val="32"/>
        </w:rPr>
      </w:pPr>
    </w:p>
    <w:p>
      <w:pPr>
        <w:jc w:val="center"/>
        <w:rPr>
          <w:rFonts w:ascii="仿宋_GB2312" w:hAnsi="宋体" w:eastAsia="仿宋_GB2312"/>
          <w:sz w:val="32"/>
          <w:szCs w:val="32"/>
        </w:rPr>
      </w:pPr>
    </w:p>
    <w:p>
      <w:pPr>
        <w:jc w:val="center"/>
        <w:rPr>
          <w:rFonts w:ascii="仿宋_GB2312" w:hAnsi="宋体" w:eastAsia="仿宋_GB2312"/>
          <w:sz w:val="32"/>
          <w:szCs w:val="32"/>
        </w:rPr>
      </w:pPr>
    </w:p>
    <w:p>
      <w:pPr>
        <w:jc w:val="center"/>
        <w:rPr>
          <w:rFonts w:ascii="仿宋_GB2312" w:hAnsi="宋体" w:eastAsia="仿宋_GB2312"/>
          <w:sz w:val="32"/>
          <w:szCs w:val="32"/>
        </w:rPr>
      </w:pPr>
    </w:p>
    <w:p>
      <w:pPr>
        <w:jc w:val="center"/>
        <w:rPr>
          <w:rFonts w:ascii="仿宋_GB2312" w:hAnsi="宋体" w:eastAsia="仿宋_GB2312"/>
          <w:sz w:val="32"/>
          <w:szCs w:val="32"/>
        </w:rPr>
      </w:pPr>
    </w:p>
    <w:p>
      <w:pPr>
        <w:jc w:val="center"/>
        <w:rPr>
          <w:rFonts w:ascii="仿宋_GB2312" w:hAnsi="宋体" w:eastAsia="仿宋_GB2312"/>
          <w:sz w:val="32"/>
          <w:szCs w:val="32"/>
        </w:rPr>
      </w:pPr>
      <w:r>
        <w:drawing>
          <wp:anchor distT="0" distB="0" distL="114300" distR="114300" simplePos="0" relativeHeight="251661312" behindDoc="0" locked="0" layoutInCell="1" allowOverlap="1">
            <wp:simplePos x="0" y="0"/>
            <wp:positionH relativeFrom="column">
              <wp:posOffset>-317500</wp:posOffset>
            </wp:positionH>
            <wp:positionV relativeFrom="paragraph">
              <wp:posOffset>133985</wp:posOffset>
            </wp:positionV>
            <wp:extent cx="6828790" cy="2574290"/>
            <wp:effectExtent l="0" t="0" r="0" b="0"/>
            <wp:wrapNone/>
            <wp:docPr id="1033" name="Image1"/>
            <wp:cNvGraphicFramePr/>
            <a:graphic xmlns:a="http://schemas.openxmlformats.org/drawingml/2006/main">
              <a:graphicData uri="http://schemas.openxmlformats.org/drawingml/2006/picture">
                <pic:pic xmlns:pic="http://schemas.openxmlformats.org/drawingml/2006/picture">
                  <pic:nvPicPr>
                    <pic:cNvPr id="1033" name="Image1"/>
                    <pic:cNvPicPr/>
                  </pic:nvPicPr>
                  <pic:blipFill>
                    <a:blip r:embed="rId10" cstate="print">
                      <a:extLst>
                        <a:ext uri="{28A0092B-C50C-407E-A947-70E740481C1C}">
                          <a14:useLocalDpi xmlns:a14="http://schemas.microsoft.com/office/drawing/2010/main" val="0"/>
                        </a:ext>
                      </a:extLst>
                    </a:blip>
                    <a:srcRect l="106" t="1" r="-19" b="230"/>
                    <a:stretch>
                      <a:fillRect/>
                    </a:stretch>
                  </pic:blipFill>
                  <pic:spPr>
                    <a:xfrm>
                      <a:off x="0" y="0"/>
                      <a:ext cx="6828567" cy="2574067"/>
                    </a:xfrm>
                    <a:prstGeom prst="rect">
                      <a:avLst/>
                    </a:prstGeom>
                    <a:ln>
                      <a:noFill/>
                    </a:ln>
                  </pic:spPr>
                </pic:pic>
              </a:graphicData>
            </a:graphic>
          </wp:anchor>
        </w:drawing>
      </w:r>
    </w:p>
    <w:p>
      <w:pPr>
        <w:jc w:val="center"/>
        <w:rPr>
          <w:rFonts w:ascii="仿宋_GB2312" w:hAnsi="宋体" w:eastAsia="仿宋_GB2312"/>
          <w:sz w:val="32"/>
          <w:szCs w:val="32"/>
        </w:rPr>
      </w:pPr>
    </w:p>
    <w:p>
      <w:pPr>
        <w:jc w:val="center"/>
        <w:rPr>
          <w:rFonts w:ascii="仿宋_GB2312" w:hAnsi="宋体" w:eastAsia="仿宋_GB2312"/>
          <w:sz w:val="32"/>
          <w:szCs w:val="32"/>
        </w:rPr>
      </w:pPr>
    </w:p>
    <w:p>
      <w:pPr>
        <w:jc w:val="center"/>
        <w:rPr>
          <w:rFonts w:ascii="仿宋_GB2312" w:hAnsi="宋体" w:eastAsia="仿宋_GB2312"/>
          <w:sz w:val="32"/>
          <w:szCs w:val="32"/>
        </w:rPr>
      </w:pPr>
    </w:p>
    <w:p>
      <w:pPr>
        <w:jc w:val="center"/>
        <w:rPr>
          <w:rFonts w:ascii="仿宋_GB2312" w:hAnsi="宋体" w:eastAsia="仿宋_GB2312"/>
          <w:sz w:val="32"/>
          <w:szCs w:val="32"/>
        </w:rPr>
      </w:pPr>
    </w:p>
    <w:p>
      <w:pPr>
        <w:jc w:val="center"/>
        <w:rPr>
          <w:rFonts w:ascii="仿宋_GB2312" w:hAnsi="宋体" w:eastAsia="仿宋_GB2312"/>
          <w:sz w:val="32"/>
          <w:szCs w:val="32"/>
        </w:rPr>
      </w:pPr>
    </w:p>
    <w:p>
      <w:pPr>
        <w:rPr>
          <w:rFonts w:ascii="仿宋_GB2312" w:hAnsi="宋体" w:eastAsia="仿宋_GB2312"/>
          <w:sz w:val="32"/>
          <w:szCs w:val="32"/>
        </w:rPr>
      </w:pPr>
    </w:p>
    <w:p>
      <w:pPr>
        <w:jc w:val="center"/>
        <w:rPr>
          <w:rFonts w:ascii="华文中宋" w:hAnsi="华文中宋" w:eastAsia="华文中宋" w:cs="华文中宋"/>
          <w:sz w:val="24"/>
          <w:szCs w:val="28"/>
        </w:rPr>
      </w:pPr>
    </w:p>
    <w:p>
      <w:pPr>
        <w:jc w:val="center"/>
        <w:rPr>
          <w:rFonts w:ascii="华文中宋" w:hAnsi="华文中宋" w:eastAsia="华文中宋" w:cs="华文中宋"/>
          <w:sz w:val="24"/>
          <w:szCs w:val="28"/>
        </w:rPr>
      </w:pPr>
    </w:p>
    <w:p>
      <w:pPr>
        <w:jc w:val="center"/>
        <w:rPr>
          <w:rFonts w:ascii="华文中宋" w:hAnsi="华文中宋" w:eastAsia="华文中宋" w:cs="华文中宋"/>
          <w:sz w:val="24"/>
          <w:szCs w:val="28"/>
        </w:rPr>
      </w:pPr>
    </w:p>
    <w:p>
      <w:pPr>
        <w:jc w:val="center"/>
        <w:rPr>
          <w:rFonts w:ascii="华文中宋" w:hAnsi="华文中宋" w:eastAsia="华文中宋" w:cs="华文中宋"/>
          <w:sz w:val="24"/>
          <w:szCs w:val="28"/>
        </w:rPr>
      </w:pPr>
    </w:p>
    <w:p>
      <w:pPr>
        <w:jc w:val="center"/>
        <w:rPr>
          <w:rFonts w:ascii="仿宋_GB2312" w:hAnsi="宋体" w:eastAsia="仿宋_GB2312"/>
          <w:sz w:val="32"/>
          <w:szCs w:val="32"/>
        </w:rPr>
      </w:pPr>
      <w:r>
        <w:rPr>
          <w:rFonts w:hint="eastAsia" w:ascii="华文中宋" w:hAnsi="华文中宋" w:eastAsia="华文中宋" w:cs="华文中宋"/>
          <w:sz w:val="24"/>
          <w:szCs w:val="28"/>
        </w:rPr>
        <w:t>二、</w:t>
      </w:r>
      <w:r>
        <w:rPr>
          <w:rFonts w:ascii="华文中宋" w:hAnsi="华文中宋" w:eastAsia="华文中宋" w:cs="华文中宋"/>
          <w:sz w:val="24"/>
          <w:szCs w:val="28"/>
        </w:rPr>
        <w:t>柱间灯箱14个（尺寸：9m*1.6m）</w:t>
      </w:r>
    </w:p>
    <w:p>
      <w:pPr>
        <w:jc w:val="center"/>
        <w:rPr>
          <w:rFonts w:ascii="仿宋_GB2312" w:hAnsi="宋体" w:eastAsia="仿宋_GB2312"/>
          <w:sz w:val="32"/>
          <w:szCs w:val="32"/>
        </w:rPr>
      </w:pPr>
      <w:r>
        <w:drawing>
          <wp:anchor distT="0" distB="0" distL="114300" distR="114300" simplePos="0" relativeHeight="251663360" behindDoc="0" locked="0" layoutInCell="1" allowOverlap="1">
            <wp:simplePos x="0" y="0"/>
            <wp:positionH relativeFrom="column">
              <wp:posOffset>224790</wp:posOffset>
            </wp:positionH>
            <wp:positionV relativeFrom="paragraph">
              <wp:posOffset>21590</wp:posOffset>
            </wp:positionV>
            <wp:extent cx="6123940" cy="3950970"/>
            <wp:effectExtent l="0" t="0" r="0" b="0"/>
            <wp:wrapNone/>
            <wp:docPr id="1035" name="Image1"/>
            <wp:cNvGraphicFramePr/>
            <a:graphic xmlns:a="http://schemas.openxmlformats.org/drawingml/2006/main">
              <a:graphicData uri="http://schemas.openxmlformats.org/drawingml/2006/picture">
                <pic:pic xmlns:pic="http://schemas.openxmlformats.org/drawingml/2006/picture">
                  <pic:nvPicPr>
                    <pic:cNvPr id="1035" name="Image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6123940" cy="3950970"/>
                    </a:xfrm>
                    <a:prstGeom prst="rect">
                      <a:avLst/>
                    </a:prstGeom>
                    <a:ln>
                      <a:noFill/>
                    </a:ln>
                  </pic:spPr>
                </pic:pic>
              </a:graphicData>
            </a:graphic>
          </wp:anchor>
        </w:drawing>
      </w:r>
    </w:p>
    <w:p>
      <w:pPr>
        <w:jc w:val="center"/>
        <w:rPr>
          <w:rFonts w:ascii="仿宋_GB2312" w:hAnsi="宋体" w:eastAsia="仿宋_GB2312"/>
          <w:sz w:val="32"/>
          <w:szCs w:val="32"/>
        </w:rPr>
      </w:pPr>
    </w:p>
    <w:p>
      <w:pPr>
        <w:jc w:val="center"/>
        <w:rPr>
          <w:rFonts w:ascii="仿宋_GB2312" w:hAnsi="宋体" w:eastAsia="仿宋_GB2312"/>
          <w:sz w:val="32"/>
          <w:szCs w:val="32"/>
        </w:rPr>
      </w:pPr>
    </w:p>
    <w:p>
      <w:pPr>
        <w:jc w:val="center"/>
        <w:rPr>
          <w:rFonts w:ascii="仿宋_GB2312" w:hAnsi="宋体" w:eastAsia="仿宋_GB2312"/>
          <w:sz w:val="32"/>
          <w:szCs w:val="32"/>
        </w:rPr>
      </w:pPr>
    </w:p>
    <w:p>
      <w:pPr>
        <w:jc w:val="center"/>
        <w:rPr>
          <w:rFonts w:ascii="仿宋_GB2312" w:hAnsi="宋体" w:eastAsia="仿宋_GB2312"/>
          <w:sz w:val="32"/>
          <w:szCs w:val="32"/>
        </w:rPr>
      </w:pPr>
    </w:p>
    <w:p>
      <w:pPr>
        <w:jc w:val="center"/>
        <w:rPr>
          <w:rFonts w:ascii="仿宋_GB2312" w:hAnsi="宋体" w:eastAsia="仿宋_GB2312"/>
          <w:sz w:val="32"/>
          <w:szCs w:val="32"/>
        </w:rPr>
      </w:pPr>
    </w:p>
    <w:p>
      <w:pPr>
        <w:jc w:val="center"/>
        <w:rPr>
          <w:rFonts w:ascii="仿宋_GB2312" w:hAnsi="宋体" w:eastAsia="仿宋_GB2312"/>
          <w:sz w:val="32"/>
          <w:szCs w:val="32"/>
        </w:rPr>
      </w:pPr>
    </w:p>
    <w:p>
      <w:pPr>
        <w:jc w:val="center"/>
        <w:rPr>
          <w:rFonts w:ascii="仿宋_GB2312" w:hAnsi="宋体" w:eastAsia="仿宋_GB2312"/>
          <w:sz w:val="32"/>
          <w:szCs w:val="32"/>
        </w:rPr>
      </w:pPr>
    </w:p>
    <w:p>
      <w:pPr>
        <w:jc w:val="center"/>
        <w:rPr>
          <w:rFonts w:ascii="仿宋_GB2312" w:hAnsi="宋体" w:eastAsia="仿宋_GB2312"/>
          <w:sz w:val="32"/>
          <w:szCs w:val="32"/>
        </w:rPr>
      </w:pPr>
    </w:p>
    <w:p>
      <w:pPr>
        <w:jc w:val="center"/>
        <w:rPr>
          <w:rFonts w:ascii="仿宋_GB2312" w:hAnsi="宋体" w:eastAsia="仿宋_GB2312"/>
          <w:sz w:val="32"/>
          <w:szCs w:val="32"/>
        </w:rPr>
      </w:pPr>
    </w:p>
    <w:p>
      <w:pPr>
        <w:jc w:val="center"/>
        <w:rPr>
          <w:rFonts w:ascii="仿宋_GB2312" w:hAnsi="宋体" w:eastAsia="仿宋_GB2312"/>
          <w:sz w:val="32"/>
          <w:szCs w:val="32"/>
        </w:rPr>
      </w:pPr>
      <w:r>
        <w:drawing>
          <wp:anchor distT="0" distB="0" distL="114300" distR="114300" simplePos="0" relativeHeight="251664384" behindDoc="0" locked="0" layoutInCell="1" allowOverlap="1">
            <wp:simplePos x="0" y="0"/>
            <wp:positionH relativeFrom="column">
              <wp:posOffset>229235</wp:posOffset>
            </wp:positionH>
            <wp:positionV relativeFrom="paragraph">
              <wp:posOffset>381000</wp:posOffset>
            </wp:positionV>
            <wp:extent cx="6128385" cy="3592195"/>
            <wp:effectExtent l="0" t="0" r="5715" b="8255"/>
            <wp:wrapNone/>
            <wp:docPr id="1036" name="Image1"/>
            <wp:cNvGraphicFramePr/>
            <a:graphic xmlns:a="http://schemas.openxmlformats.org/drawingml/2006/main">
              <a:graphicData uri="http://schemas.openxmlformats.org/drawingml/2006/picture">
                <pic:pic xmlns:pic="http://schemas.openxmlformats.org/drawingml/2006/picture">
                  <pic:nvPicPr>
                    <pic:cNvPr id="1036" name="Image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6128385" cy="3592195"/>
                    </a:xfrm>
                    <a:prstGeom prst="rect">
                      <a:avLst/>
                    </a:prstGeom>
                    <a:ln>
                      <a:noFill/>
                    </a:ln>
                  </pic:spPr>
                </pic:pic>
              </a:graphicData>
            </a:graphic>
          </wp:anchor>
        </w:drawing>
      </w:r>
    </w:p>
    <w:p>
      <w:pPr>
        <w:jc w:val="center"/>
        <w:rPr>
          <w:rFonts w:ascii="仿宋_GB2312" w:hAnsi="宋体" w:eastAsia="仿宋_GB2312"/>
          <w:sz w:val="32"/>
          <w:szCs w:val="32"/>
        </w:rPr>
      </w:pPr>
    </w:p>
    <w:p>
      <w:pPr>
        <w:jc w:val="center"/>
        <w:rPr>
          <w:rFonts w:ascii="仿宋_GB2312" w:hAnsi="宋体" w:eastAsia="仿宋_GB2312"/>
          <w:sz w:val="32"/>
          <w:szCs w:val="32"/>
        </w:rPr>
      </w:pPr>
    </w:p>
    <w:p>
      <w:pPr>
        <w:jc w:val="center"/>
        <w:rPr>
          <w:rFonts w:ascii="仿宋_GB2312" w:hAnsi="宋体" w:eastAsia="仿宋_GB2312"/>
          <w:sz w:val="32"/>
          <w:szCs w:val="32"/>
        </w:rPr>
      </w:pPr>
    </w:p>
    <w:p>
      <w:pPr>
        <w:jc w:val="center"/>
        <w:rPr>
          <w:rFonts w:ascii="仿宋_GB2312" w:hAnsi="宋体" w:eastAsia="仿宋_GB2312"/>
          <w:sz w:val="32"/>
          <w:szCs w:val="32"/>
        </w:rPr>
      </w:pPr>
    </w:p>
    <w:p>
      <w:pPr>
        <w:jc w:val="center"/>
        <w:rPr>
          <w:rFonts w:ascii="仿宋_GB2312" w:hAnsi="宋体" w:eastAsia="仿宋_GB2312"/>
          <w:sz w:val="32"/>
          <w:szCs w:val="32"/>
        </w:rPr>
      </w:pPr>
    </w:p>
    <w:p>
      <w:pPr>
        <w:jc w:val="center"/>
        <w:rPr>
          <w:rFonts w:ascii="仿宋_GB2312" w:hAnsi="宋体" w:eastAsia="仿宋_GB2312"/>
          <w:sz w:val="32"/>
          <w:szCs w:val="32"/>
        </w:rPr>
      </w:pPr>
    </w:p>
    <w:p>
      <w:pPr>
        <w:jc w:val="center"/>
        <w:rPr>
          <w:rFonts w:ascii="仿宋_GB2312" w:hAnsi="宋体" w:eastAsia="仿宋_GB2312"/>
          <w:sz w:val="32"/>
          <w:szCs w:val="32"/>
        </w:rPr>
      </w:pPr>
    </w:p>
    <w:p>
      <w:pPr>
        <w:jc w:val="center"/>
        <w:rPr>
          <w:rFonts w:ascii="仿宋_GB2312" w:hAnsi="宋体" w:eastAsia="仿宋_GB2312"/>
          <w:sz w:val="32"/>
          <w:szCs w:val="32"/>
        </w:rPr>
      </w:pPr>
    </w:p>
    <w:p>
      <w:pPr>
        <w:jc w:val="center"/>
        <w:rPr>
          <w:rFonts w:ascii="仿宋_GB2312" w:hAnsi="宋体" w:eastAsia="仿宋_GB2312"/>
          <w:sz w:val="32"/>
          <w:szCs w:val="32"/>
        </w:rPr>
      </w:pPr>
    </w:p>
    <w:p>
      <w:pPr>
        <w:jc w:val="center"/>
        <w:rPr>
          <w:rFonts w:ascii="仿宋_GB2312" w:hAnsi="宋体" w:eastAsia="仿宋_GB2312"/>
          <w:sz w:val="32"/>
          <w:szCs w:val="32"/>
        </w:rPr>
      </w:pPr>
    </w:p>
    <w:p>
      <w:pPr>
        <w:jc w:val="center"/>
        <w:rPr>
          <w:rFonts w:ascii="仿宋_GB2312" w:hAnsi="宋体" w:eastAsia="仿宋_GB2312"/>
          <w:sz w:val="32"/>
          <w:szCs w:val="32"/>
        </w:rPr>
      </w:pPr>
    </w:p>
    <w:p>
      <w:pPr>
        <w:jc w:val="center"/>
        <w:rPr>
          <w:rFonts w:ascii="仿宋_GB2312" w:hAnsi="宋体" w:eastAsia="仿宋_GB2312"/>
          <w:sz w:val="32"/>
          <w:szCs w:val="32"/>
        </w:rPr>
      </w:pPr>
    </w:p>
    <w:p>
      <w:pPr>
        <w:jc w:val="center"/>
        <w:rPr>
          <w:rFonts w:ascii="仿宋_GB2312" w:hAnsi="宋体" w:eastAsia="仿宋_GB2312"/>
          <w:sz w:val="32"/>
          <w:szCs w:val="32"/>
        </w:rPr>
      </w:pPr>
      <w:r>
        <w:drawing>
          <wp:anchor distT="0" distB="0" distL="114300" distR="114300" simplePos="0" relativeHeight="251662336" behindDoc="0" locked="0" layoutInCell="1" allowOverlap="1">
            <wp:simplePos x="0" y="0"/>
            <wp:positionH relativeFrom="column">
              <wp:posOffset>-56515</wp:posOffset>
            </wp:positionH>
            <wp:positionV relativeFrom="paragraph">
              <wp:posOffset>-68580</wp:posOffset>
            </wp:positionV>
            <wp:extent cx="6569710" cy="4310380"/>
            <wp:effectExtent l="0" t="0" r="2540" b="0"/>
            <wp:wrapNone/>
            <wp:docPr id="1034" name="Image1"/>
            <wp:cNvGraphicFramePr/>
            <a:graphic xmlns:a="http://schemas.openxmlformats.org/drawingml/2006/main">
              <a:graphicData uri="http://schemas.openxmlformats.org/drawingml/2006/picture">
                <pic:pic xmlns:pic="http://schemas.openxmlformats.org/drawingml/2006/picture">
                  <pic:nvPicPr>
                    <pic:cNvPr id="1034" name="Image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6569710" cy="4310380"/>
                    </a:xfrm>
                    <a:prstGeom prst="rect">
                      <a:avLst/>
                    </a:prstGeom>
                    <a:ln>
                      <a:noFill/>
                    </a:ln>
                  </pic:spPr>
                </pic:pic>
              </a:graphicData>
            </a:graphic>
          </wp:anchor>
        </w:drawing>
      </w:r>
    </w:p>
    <w:p>
      <w:pPr>
        <w:jc w:val="center"/>
        <w:rPr>
          <w:rFonts w:ascii="仿宋_GB2312" w:hAnsi="宋体" w:eastAsia="仿宋_GB2312"/>
          <w:sz w:val="32"/>
          <w:szCs w:val="32"/>
        </w:rPr>
      </w:pPr>
    </w:p>
    <w:p>
      <w:pPr>
        <w:jc w:val="center"/>
        <w:rPr>
          <w:rFonts w:ascii="仿宋_GB2312" w:hAnsi="宋体" w:eastAsia="仿宋_GB2312"/>
          <w:sz w:val="32"/>
          <w:szCs w:val="32"/>
        </w:rPr>
      </w:pPr>
    </w:p>
    <w:p>
      <w:pPr>
        <w:jc w:val="center"/>
        <w:rPr>
          <w:rFonts w:ascii="仿宋_GB2312" w:hAnsi="宋体" w:eastAsia="仿宋_GB2312"/>
          <w:sz w:val="32"/>
          <w:szCs w:val="32"/>
        </w:rPr>
      </w:pPr>
    </w:p>
    <w:p>
      <w:pPr>
        <w:jc w:val="center"/>
        <w:rPr>
          <w:rFonts w:ascii="仿宋_GB2312" w:hAnsi="宋体" w:eastAsia="仿宋_GB2312"/>
          <w:sz w:val="32"/>
          <w:szCs w:val="32"/>
        </w:rPr>
      </w:pPr>
    </w:p>
    <w:p>
      <w:pPr>
        <w:jc w:val="center"/>
        <w:rPr>
          <w:rFonts w:ascii="仿宋_GB2312" w:hAnsi="宋体" w:eastAsia="仿宋_GB2312"/>
          <w:sz w:val="32"/>
          <w:szCs w:val="32"/>
        </w:rPr>
      </w:pPr>
    </w:p>
    <w:p>
      <w:pPr>
        <w:jc w:val="center"/>
        <w:rPr>
          <w:rFonts w:ascii="仿宋_GB2312" w:hAnsi="宋体" w:eastAsia="仿宋_GB2312"/>
          <w:sz w:val="32"/>
          <w:szCs w:val="32"/>
        </w:rPr>
      </w:pPr>
    </w:p>
    <w:p>
      <w:pPr>
        <w:jc w:val="center"/>
        <w:rPr>
          <w:rFonts w:ascii="仿宋_GB2312" w:hAnsi="宋体" w:eastAsia="仿宋_GB2312"/>
          <w:sz w:val="32"/>
          <w:szCs w:val="32"/>
        </w:rPr>
      </w:pPr>
    </w:p>
    <w:p>
      <w:pPr>
        <w:pStyle w:val="11"/>
        <w:spacing w:line="360" w:lineRule="auto"/>
        <w:ind w:left="420" w:firstLine="0" w:firstLineChars="0"/>
        <w:jc w:val="left"/>
        <w:rPr>
          <w:rFonts w:ascii="仿宋_GB2312" w:hAnsi="宋体" w:eastAsia="仿宋_GB2312"/>
          <w:sz w:val="32"/>
          <w:szCs w:val="32"/>
        </w:rPr>
      </w:pPr>
    </w:p>
    <w:p/>
    <w:p/>
    <w:p>
      <w:r>
        <w:drawing>
          <wp:anchor distT="0" distB="0" distL="114300" distR="114300" simplePos="0" relativeHeight="251665408" behindDoc="0" locked="0" layoutInCell="1" allowOverlap="1">
            <wp:simplePos x="0" y="0"/>
            <wp:positionH relativeFrom="column">
              <wp:posOffset>-65405</wp:posOffset>
            </wp:positionH>
            <wp:positionV relativeFrom="paragraph">
              <wp:posOffset>358140</wp:posOffset>
            </wp:positionV>
            <wp:extent cx="6833870" cy="4718685"/>
            <wp:effectExtent l="0" t="0" r="5080" b="5715"/>
            <wp:wrapNone/>
            <wp:docPr id="1037" name="Image1"/>
            <wp:cNvGraphicFramePr/>
            <a:graphic xmlns:a="http://schemas.openxmlformats.org/drawingml/2006/main">
              <a:graphicData uri="http://schemas.openxmlformats.org/drawingml/2006/picture">
                <pic:pic xmlns:pic="http://schemas.openxmlformats.org/drawingml/2006/picture">
                  <pic:nvPicPr>
                    <pic:cNvPr id="1037" name="Image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6833870" cy="4718685"/>
                    </a:xfrm>
                    <a:prstGeom prst="rect">
                      <a:avLst/>
                    </a:prstGeom>
                    <a:ln>
                      <a:noFill/>
                    </a:ln>
                  </pic:spPr>
                </pic:pic>
              </a:graphicData>
            </a:graphic>
          </wp:anchor>
        </w:drawing>
      </w:r>
    </w:p>
    <w:sectPr>
      <w:pgSz w:w="11906" w:h="16838"/>
      <w:pgMar w:top="720" w:right="720" w:bottom="720" w:left="72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汉仪书宋二KW"/>
    <w:panose1 w:val="00000000000000000000"/>
    <w:charset w:val="00"/>
    <w:family w:val="auto"/>
    <w:pitch w:val="default"/>
    <w:sig w:usb0="00000000" w:usb1="00000000" w:usb2="00000000" w:usb3="00000000" w:csb0="00000000" w:csb1="00000000"/>
  </w:font>
  <w:font w:name="Wingdings">
    <w:altName w:val="Kingsoft Confetti"/>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altName w:val="汉仪中黑KW"/>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altName w:val="Kingsoft Sign"/>
    <w:panose1 w:val="05050102010706020507"/>
    <w:charset w:val="02"/>
    <w:family w:val="roman"/>
    <w:pitch w:val="default"/>
    <w:sig w:usb0="00000000" w:usb1="00000000" w:usb2="00000000" w:usb3="00000000" w:csb0="80000000" w:csb1="00000000"/>
  </w:font>
  <w:font w:name="Calibri">
    <w:altName w:val="Arial"/>
    <w:panose1 w:val="020F0502020204030204"/>
    <w:charset w:val="00"/>
    <w:family w:val="swiss"/>
    <w:pitch w:val="default"/>
    <w:sig w:usb0="00000000" w:usb1="00000000" w:usb2="00000001" w:usb3="00000000" w:csb0="0000019F" w:csb1="00000000"/>
  </w:font>
  <w:font w:name="Arial">
    <w:panose1 w:val="020B0604020202020204"/>
    <w:charset w:val="00"/>
    <w:family w:val="auto"/>
    <w:pitch w:val="default"/>
    <w:sig w:usb0="E0002AFF" w:usb1="C0007843" w:usb2="00000009" w:usb3="00000000" w:csb0="400001FF" w:csb1="FFFF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仿宋_GB2312">
    <w:altName w:val="汉仪仿宋KW"/>
    <w:panose1 w:val="02010609030101010101"/>
    <w:charset w:val="86"/>
    <w:family w:val="modern"/>
    <w:pitch w:val="default"/>
    <w:sig w:usb0="00000000" w:usb1="00000000" w:usb2="00000010" w:usb3="00000000" w:csb0="00040000" w:csb1="00000000"/>
  </w:font>
  <w:font w:name="汉仪仿宋KW">
    <w:panose1 w:val="00020600040101010101"/>
    <w:charset w:val="86"/>
    <w:family w:val="auto"/>
    <w:pitch w:val="default"/>
    <w:sig w:usb0="A00002BF" w:usb1="18EF7CFA" w:usb2="00000016" w:usb3="00000000" w:csb0="00040000" w:csb1="00000000"/>
  </w:font>
  <w:font w:name="仿宋">
    <w:altName w:val="汉仪仿宋KW"/>
    <w:panose1 w:val="00000000000000000000"/>
    <w:charset w:val="86"/>
    <w:family w:val="modern"/>
    <w:pitch w:val="default"/>
    <w:sig w:usb0="00000000" w:usb1="00000000" w:usb2="00000016" w:usb3="00000000" w:csb0="00040001" w:csb1="00000000"/>
  </w:font>
  <w:font w:name="华文中宋">
    <w:altName w:val="汉仪书宋二KW"/>
    <w:panose1 w:val="02010600040101010101"/>
    <w:charset w:val="86"/>
    <w:family w:val="auto"/>
    <w:pitch w:val="default"/>
    <w:sig w:usb0="00000000" w:usb1="00000000" w:usb2="00000010" w:usb3="00000000" w:csb0="0004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61FF1"/>
    <w:rsid w:val="0002189F"/>
    <w:rsid w:val="0014145E"/>
    <w:rsid w:val="00235E98"/>
    <w:rsid w:val="002F64A9"/>
    <w:rsid w:val="00361FF1"/>
    <w:rsid w:val="003C05F8"/>
    <w:rsid w:val="003E3770"/>
    <w:rsid w:val="00416DB7"/>
    <w:rsid w:val="0058115A"/>
    <w:rsid w:val="00587D09"/>
    <w:rsid w:val="00591661"/>
    <w:rsid w:val="00601254"/>
    <w:rsid w:val="006E0055"/>
    <w:rsid w:val="0077678F"/>
    <w:rsid w:val="007F338A"/>
    <w:rsid w:val="008F0E8A"/>
    <w:rsid w:val="00917C25"/>
    <w:rsid w:val="009608CE"/>
    <w:rsid w:val="00966DDD"/>
    <w:rsid w:val="00A0055F"/>
    <w:rsid w:val="00A0705B"/>
    <w:rsid w:val="00A670D4"/>
    <w:rsid w:val="00B064A8"/>
    <w:rsid w:val="00B47D4D"/>
    <w:rsid w:val="00B74C3E"/>
    <w:rsid w:val="00B9387F"/>
    <w:rsid w:val="00BC408E"/>
    <w:rsid w:val="00C111EE"/>
    <w:rsid w:val="00CD16C1"/>
    <w:rsid w:val="00CF589B"/>
    <w:rsid w:val="00D35FC4"/>
    <w:rsid w:val="00D46663"/>
    <w:rsid w:val="00EC2039"/>
    <w:rsid w:val="00F171E1"/>
    <w:rsid w:val="00FE17D8"/>
    <w:rsid w:val="0CDD19C2"/>
    <w:rsid w:val="977BFD3F"/>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character" w:default="1" w:styleId="7">
    <w:name w:val="Default Paragraph Font"/>
    <w:semiHidden/>
    <w:unhideWhenUsed/>
    <w:uiPriority w:val="1"/>
  </w:style>
  <w:style w:type="table" w:default="1" w:styleId="5">
    <w:name w:val="Normal Table"/>
    <w:semiHidden/>
    <w:unhideWhenUsed/>
    <w:uiPriority w:val="99"/>
    <w:tblPr>
      <w:tblCellMar>
        <w:top w:w="0" w:type="dxa"/>
        <w:left w:w="108" w:type="dxa"/>
        <w:bottom w:w="0" w:type="dxa"/>
        <w:right w:w="108" w:type="dxa"/>
      </w:tblCellMar>
    </w:tblPr>
  </w:style>
  <w:style w:type="paragraph" w:styleId="2">
    <w:name w:val="Balloon Text"/>
    <w:basedOn w:val="1"/>
    <w:link w:val="12"/>
    <w:semiHidden/>
    <w:unhideWhenUsed/>
    <w:uiPriority w:val="99"/>
    <w:rPr>
      <w:sz w:val="18"/>
      <w:szCs w:val="18"/>
    </w:rPr>
  </w:style>
  <w:style w:type="paragraph" w:styleId="3">
    <w:name w:val="footer"/>
    <w:basedOn w:val="1"/>
    <w:link w:val="10"/>
    <w:unhideWhenUsed/>
    <w:uiPriority w:val="99"/>
    <w:pPr>
      <w:tabs>
        <w:tab w:val="center" w:pos="4153"/>
        <w:tab w:val="right" w:pos="8306"/>
      </w:tabs>
      <w:snapToGrid w:val="0"/>
      <w:jc w:val="left"/>
    </w:pPr>
    <w:rPr>
      <w:rFonts w:asciiTheme="minorHAnsi" w:hAnsiTheme="minorHAnsi" w:eastAsiaTheme="minorEastAsia" w:cstheme="minorBidi"/>
      <w:sz w:val="18"/>
      <w:szCs w:val="18"/>
    </w:rPr>
  </w:style>
  <w:style w:type="paragraph" w:styleId="4">
    <w:name w:val="header"/>
    <w:basedOn w:val="1"/>
    <w:link w:val="9"/>
    <w:unhideWhenUsed/>
    <w:qFormat/>
    <w:uiPriority w:val="99"/>
    <w:pPr>
      <w:pBdr>
        <w:bottom w:val="single" w:color="auto" w:sz="6" w:space="1"/>
      </w:pBdr>
      <w:tabs>
        <w:tab w:val="center" w:pos="4153"/>
        <w:tab w:val="right" w:pos="8306"/>
      </w:tabs>
      <w:snapToGrid w:val="0"/>
      <w:jc w:val="center"/>
    </w:pPr>
    <w:rPr>
      <w:rFonts w:asciiTheme="minorHAnsi" w:hAnsiTheme="minorHAnsi" w:eastAsiaTheme="minorEastAsia" w:cstheme="minorBidi"/>
      <w:sz w:val="18"/>
      <w:szCs w:val="18"/>
    </w:rPr>
  </w:style>
  <w:style w:type="table" w:styleId="6">
    <w:name w:val="Table Grid"/>
    <w:basedOn w:val="5"/>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8">
    <w:name w:val="Strong"/>
    <w:basedOn w:val="7"/>
    <w:qFormat/>
    <w:uiPriority w:val="22"/>
    <w:rPr>
      <w:b/>
      <w:bCs/>
    </w:rPr>
  </w:style>
  <w:style w:type="character" w:customStyle="1" w:styleId="9">
    <w:name w:val="页眉 Char"/>
    <w:basedOn w:val="7"/>
    <w:link w:val="4"/>
    <w:uiPriority w:val="99"/>
    <w:rPr>
      <w:sz w:val="18"/>
      <w:szCs w:val="18"/>
    </w:rPr>
  </w:style>
  <w:style w:type="character" w:customStyle="1" w:styleId="10">
    <w:name w:val="页脚 Char"/>
    <w:basedOn w:val="7"/>
    <w:link w:val="3"/>
    <w:uiPriority w:val="99"/>
    <w:rPr>
      <w:sz w:val="18"/>
      <w:szCs w:val="18"/>
    </w:rPr>
  </w:style>
  <w:style w:type="paragraph" w:styleId="11">
    <w:name w:val="List Paragraph"/>
    <w:basedOn w:val="1"/>
    <w:qFormat/>
    <w:uiPriority w:val="34"/>
    <w:pPr>
      <w:ind w:firstLine="420" w:firstLineChars="200"/>
    </w:pPr>
    <w:rPr>
      <w:rFonts w:cs="宋体"/>
      <w:szCs w:val="22"/>
    </w:rPr>
  </w:style>
  <w:style w:type="character" w:customStyle="1" w:styleId="12">
    <w:name w:val="批注框文本 Char"/>
    <w:basedOn w:val="7"/>
    <w:link w:val="2"/>
    <w:semiHidden/>
    <w:uiPriority w:val="99"/>
    <w:rPr>
      <w:rFonts w:ascii="Calibri" w:hAnsi="Calibri" w:eastAsia="宋体" w:cs="Times New Roman"/>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Company>微软中国</Company>
  <Pages>17</Pages>
  <Words>584</Words>
  <Characters>3332</Characters>
  <Lines>27</Lines>
  <Paragraphs>7</Paragraphs>
  <TotalTime>137</TotalTime>
  <ScaleCrop>false</ScaleCrop>
  <LinksUpToDate>false</LinksUpToDate>
  <CharactersWithSpaces>3909</CharactersWithSpaces>
  <Application>WPS Office WWO_base_provider_20221031101348-1857be321c</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2023-11-16T02:55:00Z</dcterms:created>
  <dc:creator>微软用户</dc:creator>
  <cp:lastModifiedBy>微软用户</cp:lastModifiedBy>
  <cp:lastPrinted>2023-11-16T16:23:00Z</cp:lastPrinted>
  <dcterms:modified xsi:type="dcterms:W3CDTF">2023-11-16T16:10:19Z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ies>
</file>