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冬瓜山等项目-矿用高压开关装置等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3176</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11</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center"/>
        <w:rPr>
          <w:rFonts w:hint="default" w:ascii="仿宋" w:hAnsi="仿宋" w:eastAsia="仿宋" w:cs="仿宋"/>
          <w:b w:val="0"/>
          <w:bCs w:val="0"/>
          <w:color w:val="auto"/>
          <w:sz w:val="24"/>
          <w:szCs w:val="24"/>
          <w:u w:val="single"/>
          <w:lang w:val="en-US" w:eastAsia="zh-CN"/>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电控-冬瓜山等项目-矿用高压开关装置等</w:t>
      </w:r>
    </w:p>
    <w:p>
      <w:pPr>
        <w:spacing w:line="360" w:lineRule="auto"/>
        <w:jc w:val="left"/>
        <w:rPr>
          <w:rFonts w:hint="eastAsia" w:ascii="仿宋" w:hAnsi="仿宋" w:eastAsia="仿宋" w:cs="仿宋"/>
          <w:sz w:val="24"/>
          <w:szCs w:val="24"/>
          <w:u w:val="single"/>
        </w:rPr>
      </w:pPr>
      <w:r>
        <w:rPr>
          <w:rFonts w:hint="eastAsia" w:ascii="仿宋" w:hAnsi="仿宋" w:eastAsia="仿宋" w:cs="仿宋"/>
          <w:b w:val="0"/>
          <w:bCs w:val="0"/>
          <w:color w:val="auto"/>
          <w:sz w:val="24"/>
          <w:szCs w:val="24"/>
          <w:u w:val="single"/>
          <w:lang w:val="en-US" w:eastAsia="zh-CN"/>
        </w:rPr>
        <w:t>（详见报价单1包、2包）</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30</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34</TotalTime>
  <ScaleCrop>false</ScaleCrop>
  <LinksUpToDate>false</LinksUpToDate>
  <CharactersWithSpaces>3098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2023-11-23T06:24:16Z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F19D08C2DD054226A70AD001185DAF6A</vt:lpwstr>
  </property>
</Properties>
</file>