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铜陵铜冠建安第二事业部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海亮项目实心砖、多孔砖材料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TGJA-WZ-2023180</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w:t>
      </w:r>
      <w:r>
        <w:rPr>
          <w:rFonts w:hint="eastAsia" w:ascii="仿宋" w:hAnsi="仿宋" w:eastAsia="仿宋" w:cs="仿宋_GB2312"/>
          <w:sz w:val="28"/>
          <w:szCs w:val="28"/>
          <w:lang w:eastAsia="zh-CN"/>
        </w:rPr>
        <w:t>为不见面开标</w:t>
      </w:r>
      <w:r>
        <w:rPr>
          <w:rFonts w:hint="eastAsia" w:ascii="仿宋" w:hAnsi="仿宋" w:eastAsia="仿宋" w:cs="仿宋_GB2312"/>
          <w:sz w:val="28"/>
          <w:szCs w:val="28"/>
        </w:rPr>
        <w:t>。</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1、投标截止时间：</w:t>
      </w:r>
      <w:r>
        <w:rPr>
          <w:rFonts w:hint="eastAsia" w:ascii="仿宋" w:hAnsi="仿宋" w:eastAsia="仿宋" w:cs="仿宋_GB2312"/>
          <w:sz w:val="28"/>
          <w:szCs w:val="28"/>
          <w:u w:val="single"/>
        </w:rPr>
        <w:t>20</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6</w:t>
      </w:r>
      <w:r>
        <w:rPr>
          <w:rFonts w:hint="eastAsia" w:ascii="仿宋" w:hAnsi="仿宋" w:eastAsia="仿宋" w:cs="仿宋_GB2312"/>
          <w:sz w:val="28"/>
          <w:szCs w:val="28"/>
        </w:rPr>
        <w:t>、签订合同时间：另行通知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360" w:lineRule="auto"/>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壹万元整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铜陵铜冠建安第二事业部海亮项目实心砖、多孔砖材料TGJA-WZ-2023180投标保证金。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4、招标结果公示后1个月内，向所有投标人退还投标保证金（无息）。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ind w:firstLine="723" w:firstLineChars="200"/>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ascii="仿宋" w:hAnsi="仿宋" w:eastAsia="仿宋" w:cs="仿宋_GB2312"/>
          <w:b/>
          <w:sz w:val="36"/>
          <w:szCs w:val="36"/>
        </w:rPr>
      </w:pP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
          <w:sz w:val="28"/>
          <w:szCs w:val="28"/>
        </w:rPr>
      </w:pPr>
      <w:r>
        <w:rPr>
          <w:rFonts w:hint="eastAsia" w:ascii="仿宋" w:hAnsi="仿宋" w:eastAsia="仿宋" w:cs="仿宋_GB2312"/>
          <w:sz w:val="28"/>
          <w:szCs w:val="28"/>
        </w:rPr>
        <w:t>（1）</w:t>
      </w:r>
      <w:r>
        <w:rPr>
          <w:rFonts w:hint="eastAsia" w:ascii="仿宋" w:hAnsi="仿宋" w:eastAsia="仿宋" w:cs="仿宋"/>
          <w:sz w:val="28"/>
          <w:szCs w:val="28"/>
        </w:rPr>
        <w:t>材料质量要求</w:t>
      </w:r>
    </w:p>
    <w:p>
      <w:pPr>
        <w:spacing w:line="440" w:lineRule="exact"/>
        <w:ind w:firstLine="560" w:firstLineChars="200"/>
        <w:rPr>
          <w:rFonts w:ascii="仿宋" w:hAnsi="仿宋" w:eastAsia="仿宋" w:cs="仿宋_GB2312"/>
          <w:sz w:val="28"/>
          <w:szCs w:val="28"/>
        </w:rPr>
      </w:pPr>
      <w:r>
        <w:rPr>
          <w:rFonts w:hint="eastAsia" w:ascii="仿宋" w:hAnsi="仿宋" w:eastAsia="仿宋" w:cs="仿宋"/>
          <w:sz w:val="28"/>
          <w:szCs w:val="28"/>
        </w:rPr>
        <w:t>应符合国家最新质量标准和招标文件要求。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材料送至铜冠建安公司第二事业部铜陵市区施工现场。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（1）本次招标价为含税含运费一票制价格。</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（2）一经中标，合同期内价格不予调整。</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（3）本次报价设拦标价，总价拦标价为玖拾万元整，超过拦标价（含本数）的报价将作为废标处理。</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（1）以招标人现场签字验收的收货单数量为准，</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（2）涉及过磅材料，招标人有抽磅的权利，如抽磅数量与送货单数量负误差超过千分之三，以招标人抽磅数量结算且扣除该车50%货款，如发生三次以上，招标人有权解除合同。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ind w:firstLine="560" w:firstLineChars="200"/>
        <w:rPr>
          <w:rFonts w:ascii="仿宋" w:hAnsi="仿宋" w:eastAsia="仿宋" w:cs="仿宋_GB2312"/>
          <w:spacing w:val="-17"/>
          <w:sz w:val="28"/>
          <w:szCs w:val="28"/>
        </w:rPr>
      </w:pP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ascii="仿宋" w:hAnsi="仿宋" w:eastAsia="仿宋" w:cs="仿宋_GB2312"/>
          <w:b/>
          <w:sz w:val="28"/>
          <w:szCs w:val="28"/>
        </w:rPr>
      </w:pPr>
      <w:r>
        <w:rPr>
          <w:rFonts w:hint="eastAsia" w:ascii="仿宋" w:hAnsi="仿宋" w:eastAsia="仿宋" w:cs="仿宋_GB2312"/>
          <w:color w:val="000000" w:themeColor="text1"/>
          <w:sz w:val="28"/>
          <w:szCs w:val="28"/>
          <w:u w:val="single"/>
        </w:rPr>
        <w:t>合同签订后，</w:t>
      </w:r>
      <w:r>
        <w:rPr>
          <w:rFonts w:hint="eastAsia" w:ascii="仿宋" w:hAnsi="仿宋" w:eastAsia="仿宋" w:cs="仿宋"/>
          <w:color w:val="000000" w:themeColor="text1"/>
          <w:sz w:val="28"/>
          <w:szCs w:val="28"/>
          <w:u w:val="single"/>
        </w:rPr>
        <w:t>货到验收合格后开具发票，入账次月支付40%，春节前支付至80%，剩余20%该春节后两年内付清。</w:t>
      </w:r>
      <w:r>
        <w:rPr>
          <w:rFonts w:hint="eastAsia" w:ascii="仿宋" w:hAnsi="仿宋" w:eastAsia="仿宋" w:cs="仿宋"/>
          <w:color w:val="171A1D"/>
          <w:sz w:val="28"/>
          <w:szCs w:val="28"/>
          <w:u w:val="single"/>
          <w:shd w:val="clear" w:color="auto" w:fill="FFFFFF"/>
        </w:rPr>
        <w:t>货款以对公转账方式支付至供方对公账户，支付电汇或不超过发票总金额50%的6个月内电子承兑。</w:t>
      </w:r>
    </w:p>
    <w:p>
      <w:pPr>
        <w:spacing w:line="520" w:lineRule="exact"/>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064" w:firstLineChars="800"/>
        <w:jc w:val="center"/>
        <w:rPr>
          <w:rFonts w:ascii="仿宋" w:hAnsi="仿宋" w:eastAsia="仿宋" w:cs="仿宋_GB2312"/>
          <w:sz w:val="28"/>
          <w:szCs w:val="28"/>
        </w:rPr>
      </w:pPr>
      <w:r>
        <w:rPr>
          <w:rFonts w:hint="eastAsia" w:ascii="仿宋" w:hAnsi="仿宋" w:eastAsia="仿宋" w:cs="仿宋_GB2312"/>
          <w:spacing w:val="-11"/>
          <w:sz w:val="28"/>
          <w:szCs w:val="28"/>
          <w:lang w:val="en-US" w:eastAsia="zh-CN"/>
        </w:rPr>
        <w:t xml:space="preserve">             </w:t>
      </w:r>
      <w:bookmarkStart w:id="0" w:name="_GoBack"/>
      <w:bookmarkEnd w:id="0"/>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ascii="仿宋" w:hAnsi="仿宋" w:eastAsia="仿宋"/>
          <w:b/>
          <w:sz w:val="28"/>
          <w:szCs w:val="28"/>
        </w:rPr>
      </w:pPr>
      <w:r>
        <w:rPr>
          <w:rFonts w:hint="eastAsia" w:ascii="仿宋" w:hAnsi="仿宋" w:eastAsia="仿宋"/>
          <w:b/>
          <w:sz w:val="28"/>
          <w:szCs w:val="28"/>
        </w:rPr>
        <w:t>报价单（TGJA-WZ-2023180）</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488"/>
        <w:gridCol w:w="233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587"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594"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49"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82"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488"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2333"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356"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314" w:type="dxa"/>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实心砖</w:t>
            </w:r>
          </w:p>
        </w:tc>
        <w:tc>
          <w:tcPr>
            <w:tcW w:w="1594" w:type="dxa"/>
            <w:vAlign w:val="center"/>
          </w:tcPr>
          <w:p>
            <w:pPr>
              <w:widowControl/>
              <w:jc w:val="center"/>
              <w:textAlignment w:val="center"/>
              <w:rPr>
                <w:rFonts w:ascii="仿宋" w:hAnsi="仿宋" w:eastAsia="仿宋"/>
                <w:sz w:val="24"/>
              </w:rPr>
            </w:pPr>
            <w:r>
              <w:rPr>
                <w:rFonts w:hint="eastAsia" w:ascii="仿宋" w:hAnsi="仿宋" w:eastAsia="仿宋"/>
                <w:sz w:val="24"/>
              </w:rPr>
              <w:t>200*90*53;MU15煤矸石实心砖</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300000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空心砖</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240*200*115;MU5.0煤矸石空心砖</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700000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p>
        </w:tc>
        <w:tc>
          <w:tcPr>
            <w:tcW w:w="6500" w:type="dxa"/>
            <w:gridSpan w:val="5"/>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3821"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continue"/>
            <w:vAlign w:val="center"/>
          </w:tcPr>
          <w:p>
            <w:pPr>
              <w:spacing w:line="400" w:lineRule="exact"/>
              <w:jc w:val="center"/>
              <w:rPr>
                <w:rFonts w:ascii="仿宋" w:hAnsi="仿宋" w:eastAsia="仿宋"/>
                <w:sz w:val="24"/>
              </w:rPr>
            </w:pP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ascii="仿宋" w:hAnsi="仿宋" w:eastAsia="仿宋"/>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i1025" o:spt="75" alt="tlys" type="#_x0000_t75" style="height:16.3pt;width:18.15pt;" filled="f" o:preferrelative="t" stroked="f" coordsize="21600,21600">
          <v:path/>
          <v:fill on="f" focussize="0,0"/>
          <v:stroke on="f" joinstyle="miter"/>
          <v:imagedata r:id="rId1" o:title="tlys"/>
          <o:lock v:ext="edit" aspectratio="t"/>
          <w10:wrap type="none"/>
          <w10:anchorlock/>
        </v:shape>
      </w:pict>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pict>
        <v:shape id="_x0000_i1026" o:spt="75" alt="tlys" type="#_x0000_t75" style="height:16.3pt;width:18.15pt;" filled="f" o:preferrelative="t" stroked="f" coordsize="21600,21600">
          <v:path/>
          <v:fill on="f" focussize="0,0"/>
          <v:stroke on="f" joinstyle="miter"/>
          <v:imagedata r:id="rId1" o:title="tlys"/>
          <o:lock v:ext="edit" aspectratio="t"/>
          <w10:wrap type="none"/>
          <w10:anchorlock/>
        </v:shape>
      </w:pict>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E583AD2"/>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14</Pages>
  <Words>741</Words>
  <Characters>4226</Characters>
  <Lines>35</Lines>
  <Paragraphs>9</Paragraphs>
  <TotalTime>2</TotalTime>
  <ScaleCrop>false</ScaleCrop>
  <LinksUpToDate>false</LinksUpToDate>
  <CharactersWithSpaces>4958</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2023-12-29T07:12:33Z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