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tabs>
          <w:tab w:val="left" w:pos="7020"/>
        </w:tabs>
        <w:jc w:val="center"/>
        <w:rPr>
          <w:rFonts w:ascii="仿宋" w:hAnsi="仿宋" w:eastAsia="仿宋"/>
          <w:sz w:val="44"/>
          <w:szCs w:val="44"/>
        </w:rPr>
      </w:pPr>
      <w:r>
        <w:rPr>
          <w:rFonts w:hint="eastAsia" w:ascii="仿宋" w:hAnsi="仿宋" w:eastAsia="仿宋"/>
          <w:b/>
          <w:sz w:val="72"/>
          <w:szCs w:val="72"/>
        </w:rPr>
        <w:t>铜陵铜冠商品混凝土有限责任公司</w:t>
      </w:r>
      <w:r>
        <w:rPr>
          <w:rFonts w:hint="eastAsia" w:ascii="仿宋" w:hAnsi="仿宋" w:eastAsia="仿宋"/>
          <w:b/>
          <w:sz w:val="72"/>
          <w:szCs w:val="72"/>
          <w:lang w:eastAsia="zh-CN"/>
        </w:rPr>
        <w:t>混凝土</w:t>
      </w:r>
      <w:r>
        <w:rPr>
          <w:rFonts w:hint="eastAsia" w:ascii="仿宋" w:hAnsi="仿宋" w:eastAsia="仿宋"/>
          <w:b/>
          <w:sz w:val="72"/>
          <w:szCs w:val="72"/>
        </w:rPr>
        <w:t>搅拌主机</w:t>
      </w:r>
      <w:r>
        <w:rPr>
          <w:rFonts w:hint="eastAsia" w:ascii="仿宋" w:hAnsi="仿宋" w:eastAsia="仿宋"/>
          <w:b/>
          <w:sz w:val="72"/>
          <w:szCs w:val="72"/>
          <w:lang w:eastAsia="zh-CN"/>
        </w:rPr>
        <w:t>大</w:t>
      </w:r>
      <w:r>
        <w:rPr>
          <w:rFonts w:hint="eastAsia" w:ascii="仿宋" w:hAnsi="仿宋" w:eastAsia="仿宋"/>
          <w:b/>
          <w:sz w:val="72"/>
          <w:szCs w:val="72"/>
        </w:rPr>
        <w:t xml:space="preserve">修 </w:t>
      </w:r>
    </w:p>
    <w:p>
      <w:pPr>
        <w:tabs>
          <w:tab w:val="left" w:pos="7020"/>
        </w:tabs>
        <w:jc w:val="center"/>
        <w:rPr>
          <w:rFonts w:hint="eastAsia" w:ascii="仿宋" w:hAnsi="仿宋" w:eastAsia="仿宋"/>
          <w:b/>
          <w:sz w:val="72"/>
          <w:szCs w:val="72"/>
          <w:lang w:eastAsia="zh-CN"/>
        </w:rPr>
      </w:pPr>
      <w:r>
        <w:rPr>
          <w:rFonts w:hint="eastAsia" w:ascii="仿宋" w:hAnsi="仿宋" w:eastAsia="仿宋"/>
          <w:b/>
          <w:sz w:val="72"/>
          <w:szCs w:val="72"/>
          <w:lang w:eastAsia="zh-CN"/>
        </w:rPr>
        <w:t>竞价</w:t>
      </w:r>
      <w:r>
        <w:rPr>
          <w:rFonts w:hint="eastAsia" w:ascii="仿宋" w:hAnsi="仿宋" w:eastAsia="仿宋"/>
          <w:b/>
          <w:sz w:val="72"/>
          <w:szCs w:val="72"/>
        </w:rPr>
        <w:t>文件</w:t>
      </w:r>
      <w:r>
        <w:rPr>
          <w:rFonts w:hint="eastAsia" w:ascii="仿宋" w:hAnsi="仿宋" w:eastAsia="仿宋"/>
          <w:b/>
          <w:sz w:val="72"/>
          <w:szCs w:val="72"/>
          <w:lang w:eastAsia="zh-CN"/>
        </w:rPr>
        <w:t>（二次招标）</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color w:val="0000FF"/>
          <w:sz w:val="32"/>
          <w:szCs w:val="32"/>
          <w:u w:val="single"/>
        </w:rPr>
        <w:t>TGJA-JX-202</w:t>
      </w:r>
      <w:r>
        <w:rPr>
          <w:rFonts w:hint="eastAsia" w:ascii="仿宋" w:hAnsi="仿宋" w:eastAsia="仿宋" w:cs="仿宋_GB2312"/>
          <w:b/>
          <w:bCs/>
          <w:color w:val="0000FF"/>
          <w:sz w:val="32"/>
          <w:szCs w:val="32"/>
          <w:u w:val="single"/>
          <w:lang w:val="en-US" w:eastAsia="zh-CN"/>
        </w:rPr>
        <w:t>3</w:t>
      </w:r>
      <w:r>
        <w:rPr>
          <w:rFonts w:hint="eastAsia" w:ascii="仿宋" w:hAnsi="仿宋" w:eastAsia="仿宋" w:cs="仿宋_GB2312"/>
          <w:b/>
          <w:bCs/>
          <w:color w:val="0000FF"/>
          <w:sz w:val="32"/>
          <w:szCs w:val="32"/>
          <w:u w:val="single"/>
        </w:rPr>
        <w:t>0</w:t>
      </w:r>
      <w:r>
        <w:rPr>
          <w:rFonts w:hint="eastAsia" w:ascii="仿宋" w:hAnsi="仿宋" w:eastAsia="仿宋" w:cs="仿宋_GB2312"/>
          <w:b/>
          <w:bCs/>
          <w:color w:val="0000FF"/>
          <w:sz w:val="32"/>
          <w:szCs w:val="32"/>
          <w:u w:val="single"/>
          <w:lang w:val="en-US" w:eastAsia="zh-CN"/>
        </w:rPr>
        <w:t>43-2</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混凝土</w:t>
      </w:r>
      <w:r>
        <w:rPr>
          <w:rFonts w:hint="eastAsia" w:ascii="仿宋" w:hAnsi="仿宋" w:eastAsia="仿宋" w:cs="仿宋_GB2312"/>
          <w:b/>
          <w:bCs/>
          <w:sz w:val="32"/>
          <w:szCs w:val="32"/>
          <w:u w:val="single"/>
        </w:rPr>
        <w:t>搅拌主机</w:t>
      </w:r>
      <w:r>
        <w:rPr>
          <w:rFonts w:hint="eastAsia" w:ascii="仿宋" w:hAnsi="仿宋" w:eastAsia="仿宋" w:cs="仿宋_GB2312"/>
          <w:b/>
          <w:bCs/>
          <w:sz w:val="32"/>
          <w:szCs w:val="32"/>
          <w:u w:val="single"/>
          <w:lang w:eastAsia="zh-CN"/>
        </w:rPr>
        <w:t>大</w:t>
      </w:r>
      <w:r>
        <w:rPr>
          <w:rFonts w:hint="eastAsia" w:ascii="仿宋" w:hAnsi="仿宋" w:eastAsia="仿宋" w:cs="仿宋_GB2312"/>
          <w:b/>
          <w:bCs/>
          <w:sz w:val="32"/>
          <w:szCs w:val="32"/>
          <w:u w:val="single"/>
        </w:rPr>
        <w:t>修</w:t>
      </w:r>
      <w:r>
        <w:rPr>
          <w:rFonts w:hint="eastAsia" w:ascii="仿宋" w:hAnsi="仿宋" w:eastAsia="仿宋" w:cs="仿宋_GB2312"/>
          <w:b/>
          <w:bCs/>
          <w:sz w:val="32"/>
          <w:szCs w:val="32"/>
          <w:u w:val="single"/>
          <w:lang w:val="en-US" w:eastAsia="zh-CN"/>
        </w:rPr>
        <w:t xml:space="preserve">   </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rPr>
        <w:t>铜陵铜冠商品混凝土有限责任公司</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章浩（18705628595）</w:t>
      </w:r>
      <w:r>
        <w:rPr>
          <w:rFonts w:hint="eastAsia" w:ascii="仿宋" w:hAnsi="仿宋" w:eastAsia="仿宋" w:cs="仿宋_GB2312"/>
          <w:b/>
          <w:bCs/>
          <w:sz w:val="32"/>
          <w:szCs w:val="32"/>
          <w:u w:val="single"/>
          <w:lang w:eastAsia="zh-CN"/>
        </w:rPr>
        <w:t>王良希（</w:t>
      </w:r>
      <w:r>
        <w:rPr>
          <w:rFonts w:hint="eastAsia" w:ascii="仿宋" w:hAnsi="仿宋" w:eastAsia="仿宋" w:cs="仿宋_GB2312"/>
          <w:b/>
          <w:bCs/>
          <w:sz w:val="32"/>
          <w:szCs w:val="32"/>
          <w:u w:val="single"/>
          <w:lang w:val="en-US" w:eastAsia="zh-CN"/>
        </w:rPr>
        <w:t>13866842309</w:t>
      </w:r>
      <w:r>
        <w:rPr>
          <w:rFonts w:hint="eastAsia" w:ascii="仿宋" w:hAnsi="仿宋" w:eastAsia="仿宋" w:cs="仿宋_GB2312"/>
          <w:b/>
          <w:bCs/>
          <w:sz w:val="32"/>
          <w:szCs w:val="32"/>
          <w:u w:val="single"/>
          <w:lang w:eastAsia="zh-CN"/>
        </w:rPr>
        <w:t>）</w:t>
      </w:r>
      <w:r>
        <w:rPr>
          <w:rFonts w:hint="eastAsia" w:ascii="仿宋" w:hAnsi="仿宋" w:eastAsia="仿宋" w:cs="仿宋_GB2312"/>
          <w:b/>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840" w:lineRule="auto"/>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4</w:t>
      </w:r>
      <w:r>
        <w:rPr>
          <w:rFonts w:hint="eastAsia" w:ascii="仿宋" w:hAnsi="仿宋" w:eastAsia="仿宋" w:cs="仿宋_GB2312"/>
          <w:b/>
          <w:bCs/>
          <w:sz w:val="32"/>
          <w:szCs w:val="32"/>
          <w:u w:val="single"/>
        </w:rPr>
        <w:t xml:space="preserve">年 </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4</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 xml:space="preserve">：00   </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r>
        <w:rPr>
          <w:rFonts w:hint="eastAsia" w:ascii="仿宋" w:hAnsi="仿宋" w:eastAsia="仿宋" w:cs="仿宋_GB2312"/>
          <w:b/>
          <w:bCs/>
          <w:sz w:val="28"/>
          <w:szCs w:val="28"/>
        </w:rPr>
        <w:br w:type="page"/>
      </w: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w:t>
      </w:r>
      <w:r>
        <w:rPr>
          <w:rFonts w:hint="eastAsia" w:ascii="仿宋" w:hAnsi="仿宋" w:eastAsia="仿宋" w:cs="仿宋_GB2312"/>
          <w:sz w:val="28"/>
          <w:szCs w:val="28"/>
          <w:lang w:eastAsia="zh-CN"/>
        </w:rPr>
        <w:t>为不见面开标</w:t>
      </w:r>
      <w:r>
        <w:rPr>
          <w:rFonts w:hint="eastAsia" w:ascii="仿宋" w:hAnsi="仿宋" w:eastAsia="仿宋" w:cs="仿宋_GB2312"/>
          <w:sz w:val="28"/>
          <w:szCs w:val="28"/>
        </w:rPr>
        <w:t>。</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29</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r>
        <w:rPr>
          <w:rFonts w:hint="eastAsia" w:ascii="仿宋" w:hAnsi="仿宋" w:eastAsia="仿宋" w:cs="仿宋_GB2312"/>
          <w:b/>
          <w:sz w:val="36"/>
          <w:szCs w:val="36"/>
        </w:rPr>
        <w:t>二、招标</w:t>
      </w:r>
      <w:r>
        <w:rPr>
          <w:rFonts w:hint="eastAsia" w:ascii="仿宋" w:hAnsi="仿宋" w:eastAsia="仿宋" w:cs="仿宋_GB2312"/>
          <w:b/>
          <w:sz w:val="36"/>
          <w:szCs w:val="36"/>
          <w:lang w:eastAsia="zh-CN"/>
        </w:rPr>
        <w:t>技术要求</w:t>
      </w:r>
    </w:p>
    <w:p>
      <w:pPr>
        <w:numPr>
          <w:ilvl w:val="0"/>
          <w:numId w:val="0"/>
        </w:numPr>
        <w:ind w:leftChars="0"/>
        <w:jc w:val="left"/>
        <w:rPr>
          <w:rFonts w:ascii="宋体" w:cs="宋体"/>
          <w:kern w:val="0"/>
          <w:szCs w:val="21"/>
        </w:rPr>
      </w:pPr>
      <w:r>
        <w:rPr>
          <w:rFonts w:hint="eastAsia" w:ascii="宋体" w:hAnsi="宋体"/>
          <w:b/>
          <w:bCs/>
          <w:sz w:val="30"/>
          <w:szCs w:val="30"/>
          <w:lang w:val="en-US" w:eastAsia="zh-CN"/>
        </w:rPr>
        <w:t>1、混凝土搅拌主机基本参数：</w:t>
      </w:r>
    </w:p>
    <w:p>
      <w:pPr>
        <w:jc w:val="left"/>
        <w:rPr>
          <w:rFonts w:hint="default" w:ascii="宋体" w:eastAsia="宋体" w:cs="宋体"/>
          <w:kern w:val="0"/>
          <w:szCs w:val="21"/>
          <w:lang w:val="en-US" w:eastAsia="zh-CN"/>
        </w:rPr>
      </w:pPr>
      <w:r>
        <w:rPr>
          <w:rFonts w:hint="eastAsia" w:ascii="宋体" w:cs="宋体"/>
          <w:kern w:val="0"/>
          <w:szCs w:val="21"/>
          <w:lang w:eastAsia="zh-CN"/>
        </w:rPr>
        <w:t>产品型号：</w:t>
      </w:r>
      <w:r>
        <w:rPr>
          <w:rFonts w:hint="eastAsia" w:ascii="宋体" w:cs="宋体"/>
          <w:kern w:val="0"/>
          <w:szCs w:val="21"/>
          <w:lang w:val="en-US" w:eastAsia="zh-CN"/>
        </w:rPr>
        <w:t>JS3000E，主机功率2x55KW，公称容量3000L，搅拌轴转速26r/min。</w:t>
      </w:r>
    </w:p>
    <w:p>
      <w:pPr>
        <w:ind w:left="0" w:leftChars="0" w:firstLine="0" w:firstLineChars="0"/>
        <w:jc w:val="both"/>
        <w:rPr>
          <w:rFonts w:hint="eastAsia" w:ascii="宋体" w:hAnsi="宋体"/>
          <w:szCs w:val="21"/>
          <w:lang w:val="en-US" w:eastAsia="zh-CN"/>
        </w:rPr>
      </w:pPr>
      <w:r>
        <w:rPr>
          <w:rFonts w:hint="eastAsia" w:ascii="宋体" w:hAnsi="宋体"/>
          <w:b/>
          <w:bCs/>
          <w:sz w:val="30"/>
          <w:szCs w:val="30"/>
          <w:lang w:val="en-US" w:eastAsia="zh-CN"/>
        </w:rPr>
        <w:t>2、混凝土搅拌主机现况如下：</w:t>
      </w:r>
    </w:p>
    <w:p>
      <w:pPr>
        <w:jc w:val="left"/>
        <w:rPr>
          <w:rFonts w:hint="eastAsia" w:ascii="宋体" w:cs="宋体"/>
          <w:kern w:val="0"/>
          <w:szCs w:val="21"/>
          <w:lang w:val="en-US" w:eastAsia="zh-CN"/>
        </w:rPr>
      </w:pPr>
      <w:r>
        <w:rPr>
          <w:rFonts w:hint="eastAsia" w:ascii="宋体" w:cs="宋体"/>
          <w:kern w:val="0"/>
          <w:szCs w:val="21"/>
          <w:lang w:val="en-US" w:eastAsia="zh-CN"/>
        </w:rPr>
        <w:t>现有2台搅拌主机内衬板、搅拌刀片磨损严重，主机轴头密封件损坏，已经不能自动注油，导致主机负载偏大，经常死机。</w:t>
      </w:r>
    </w:p>
    <w:p>
      <w:pPr>
        <w:numPr>
          <w:ilvl w:val="0"/>
          <w:numId w:val="0"/>
        </w:numPr>
        <w:spacing w:line="240" w:lineRule="auto"/>
        <w:rPr>
          <w:rFonts w:hint="eastAsia" w:ascii="宋体" w:hAnsi="宋体"/>
          <w:szCs w:val="21"/>
          <w:lang w:val="en-US" w:eastAsia="zh-CN"/>
        </w:rPr>
      </w:pPr>
      <w:r>
        <w:rPr>
          <w:rFonts w:hint="eastAsia" w:ascii="宋体" w:hAnsi="宋体"/>
          <w:szCs w:val="21"/>
          <w:lang w:val="en-US" w:eastAsia="zh-CN"/>
        </w:rPr>
        <w:t>拟维修主要内容：</w:t>
      </w:r>
    </w:p>
    <w:tbl>
      <w:tblPr>
        <w:tblStyle w:val="45"/>
        <w:tblW w:w="82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55"/>
        <w:gridCol w:w="5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维修备件名称</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配件型号（名称）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三方主机耐磨件</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菱形弧衬板JSX2000.3.2-2A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梯形弧衬板JSX2000.3.2-1A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外侧端衬板JSX2000.3.2-3A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左边端衬板JSX2000.3.2-4A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右边端衬板JSX2000.3.2-5A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中间端衬板JSX2000.3.2-6A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叶片JSX2000.7.2-1B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侧刮板JSX2000.7.1-1B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刮板JSX2000.7.4-1B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侧护板JSX2000.7.1-2B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护板JSX2000.7.4-2B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侧搅拌臂JSX2000.7.1-4B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搅拌臂JSX2000.7.4-3B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主搅拌臂JSX2000.7.2-3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短联接座JSX2000.7.1-5B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长联接座JSX2000.7.2-4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卸料门门沿JSX2000.3.2-11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卸料门弧衬板JS3000A.6B-1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厚半环JSX2000.7.5-1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厚半环JS3000.7.5-1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上方弧形衬板合件JSX2000.3.2.1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卸料门盖瓦JSX2000.3.2-7A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装配螺丝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其它配件</w:t>
            </w: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JS3000搅拌主机轴头密封件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润滑泵4WDB-M1.2/244F1930</w:t>
            </w:r>
          </w:p>
        </w:tc>
      </w:tr>
    </w:tbl>
    <w:p>
      <w:pPr>
        <w:jc w:val="left"/>
        <w:rPr>
          <w:rFonts w:hint="eastAsia" w:ascii="宋体" w:cs="宋体"/>
          <w:kern w:val="0"/>
          <w:szCs w:val="21"/>
          <w:lang w:val="en-US" w:eastAsia="zh-CN"/>
        </w:rPr>
      </w:pPr>
      <w:r>
        <w:rPr>
          <w:rFonts w:hint="eastAsia" w:ascii="宋体" w:cs="宋体"/>
          <w:kern w:val="0"/>
          <w:szCs w:val="21"/>
          <w:lang w:val="en-US" w:eastAsia="zh-CN"/>
        </w:rPr>
        <w:t>以上为主要维修更换配件，耐磨件实际更换明细包含但不限于以上内容，以实际更换为准，但保证搅拌机内部耐磨件全部更换，且功能满足使用要求。</w:t>
      </w:r>
    </w:p>
    <w:p>
      <w:pPr>
        <w:ind w:left="0" w:leftChars="0" w:firstLine="0" w:firstLineChars="0"/>
        <w:jc w:val="both"/>
        <w:rPr>
          <w:rFonts w:hint="eastAsia" w:ascii="宋体" w:hAnsi="宋体"/>
          <w:b/>
          <w:bCs/>
          <w:sz w:val="30"/>
          <w:szCs w:val="30"/>
          <w:lang w:val="en-US" w:eastAsia="zh-CN"/>
        </w:rPr>
      </w:pPr>
      <w:r>
        <w:rPr>
          <w:rFonts w:hint="eastAsia" w:ascii="宋体" w:hAnsi="宋体"/>
          <w:b/>
          <w:bCs/>
          <w:sz w:val="30"/>
          <w:szCs w:val="30"/>
          <w:lang w:val="en-US" w:eastAsia="zh-CN"/>
        </w:rPr>
        <w:t>4、质保要求</w:t>
      </w:r>
    </w:p>
    <w:p>
      <w:pPr>
        <w:jc w:val="left"/>
        <w:rPr>
          <w:rFonts w:hint="default" w:ascii="宋体" w:cs="宋体"/>
          <w:kern w:val="0"/>
          <w:szCs w:val="21"/>
          <w:lang w:val="en-US" w:eastAsia="zh-CN"/>
        </w:rPr>
      </w:pPr>
      <w:r>
        <w:rPr>
          <w:rFonts w:hint="eastAsia" w:ascii="宋体" w:cs="宋体"/>
          <w:kern w:val="0"/>
          <w:szCs w:val="21"/>
          <w:lang w:val="en-US" w:eastAsia="zh-CN"/>
        </w:rPr>
        <w:t>每台搅拌主机更换耐磨件需质保10万立方混凝土或一年无破损脱落等质量问题，以哪个先到为准，如出现质量问题，需无条件更换。</w:t>
      </w:r>
    </w:p>
    <w:p>
      <w:pPr>
        <w:ind w:left="0" w:leftChars="0" w:firstLine="0" w:firstLineChars="0"/>
        <w:jc w:val="both"/>
        <w:rPr>
          <w:rFonts w:hint="eastAsia" w:ascii="宋体" w:hAnsi="宋体"/>
          <w:b/>
          <w:bCs/>
          <w:sz w:val="30"/>
          <w:szCs w:val="30"/>
          <w:lang w:val="en-US" w:eastAsia="zh-CN"/>
        </w:rPr>
      </w:pPr>
      <w:r>
        <w:rPr>
          <w:rFonts w:hint="eastAsia" w:ascii="宋体" w:hAnsi="宋体"/>
          <w:b/>
          <w:bCs/>
          <w:sz w:val="30"/>
          <w:szCs w:val="30"/>
          <w:lang w:val="en-US" w:eastAsia="zh-CN"/>
        </w:rPr>
        <w:t>5、设备改造时间</w:t>
      </w:r>
    </w:p>
    <w:p>
      <w:pPr>
        <w:jc w:val="left"/>
        <w:rPr>
          <w:rFonts w:hint="eastAsia" w:ascii="宋体" w:cs="宋体"/>
          <w:kern w:val="0"/>
          <w:szCs w:val="21"/>
          <w:lang w:val="en-US" w:eastAsia="zh-CN"/>
        </w:rPr>
      </w:pPr>
      <w:r>
        <w:rPr>
          <w:rFonts w:hint="eastAsia" w:ascii="宋体" w:cs="宋体"/>
          <w:kern w:val="0"/>
          <w:szCs w:val="21"/>
          <w:lang w:val="en-US" w:eastAsia="zh-CN"/>
        </w:rPr>
        <w:t>以招标单位根据生产现状通知为准，收到通知时需具备立即维修的能力。</w:t>
      </w:r>
    </w:p>
    <w:p>
      <w:pPr>
        <w:ind w:left="0" w:leftChars="0" w:firstLine="0" w:firstLineChars="0"/>
      </w:pPr>
    </w:p>
    <w:p>
      <w:pPr>
        <w:rPr>
          <w:rFonts w:hint="eastAsia" w:ascii="仿宋" w:hAnsi="仿宋" w:eastAsia="仿宋" w:cs="仿宋_GB2312"/>
          <w:b/>
          <w:sz w:val="36"/>
          <w:szCs w:val="36"/>
        </w:rPr>
      </w:pPr>
      <w:r>
        <w:rPr>
          <w:rFonts w:hint="eastAsia" w:ascii="仿宋" w:hAnsi="仿宋" w:eastAsia="仿宋" w:cs="仿宋_GB2312"/>
          <w:b/>
          <w:sz w:val="36"/>
          <w:szCs w:val="36"/>
        </w:rPr>
        <w:br w:type="page"/>
      </w:r>
    </w:p>
    <w:p>
      <w:pPr>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ind w:firstLine="560" w:firstLineChars="200"/>
        <w:rPr>
          <w:rFonts w:hint="eastAsia" w:ascii="仿宋" w:hAnsi="仿宋" w:eastAsia="仿宋" w:cs="仿宋_GB2312"/>
          <w:sz w:val="28"/>
          <w:szCs w:val="28"/>
        </w:rPr>
      </w:pPr>
    </w:p>
    <w:p>
      <w:pPr>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五、投标报名</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1、各投标人需在报名截止时间之前至铜陵有色金属集团铜冠建筑安</w:t>
      </w:r>
    </w:p>
    <w:p>
      <w:pPr>
        <w:rPr>
          <w:rFonts w:hint="eastAsia" w:ascii="仿宋" w:hAnsi="仿宋" w:eastAsia="仿宋" w:cs="仿宋_GB2312"/>
          <w:sz w:val="28"/>
          <w:szCs w:val="28"/>
          <w:lang w:eastAsia="zh-CN"/>
        </w:rPr>
      </w:pPr>
      <w:r>
        <w:rPr>
          <w:rFonts w:hint="eastAsia" w:ascii="仿宋" w:hAnsi="仿宋" w:eastAsia="仿宋" w:cs="仿宋_GB2312"/>
          <w:sz w:val="28"/>
          <w:szCs w:val="28"/>
        </w:rPr>
        <w:t>装股份有限公司报名。因投标人未在指定要求时间报名或未通过资格审查的视为无效投标。</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报名时投标人需提供报名资料：营业执照副本复印件、法定代表人身份证复印件（经办人不是法定代表人的要提供法定代表人授权委托书、代理人身份证复印件）并加盖公章（原章）等资料</w:t>
      </w:r>
      <w:r>
        <w:rPr>
          <w:rFonts w:hint="eastAsia" w:ascii="仿宋" w:hAnsi="仿宋" w:eastAsia="仿宋" w:cs="仿宋_GB2312"/>
          <w:sz w:val="28"/>
          <w:szCs w:val="28"/>
          <w:lang w:eastAsia="zh-CN"/>
        </w:rPr>
        <w:t>，备注联系人电话</w:t>
      </w:r>
      <w:r>
        <w:rPr>
          <w:rFonts w:hint="eastAsia" w:ascii="仿宋" w:hAnsi="仿宋" w:eastAsia="仿宋" w:cs="仿宋_GB2312"/>
          <w:sz w:val="28"/>
          <w:szCs w:val="28"/>
        </w:rPr>
        <w:t>。</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3、报名自招标公告发布之日起至202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日17:</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0止</w:t>
      </w:r>
      <w:r>
        <w:rPr>
          <w:rFonts w:hint="eastAsia" w:ascii="仿宋" w:hAnsi="仿宋" w:eastAsia="仿宋" w:cs="仿宋_GB2312"/>
          <w:sz w:val="28"/>
          <w:szCs w:val="28"/>
          <w:lang w:eastAsia="zh-CN"/>
        </w:rPr>
        <w:t>。</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4、报名地点：铜陵有色金属集团铜冠建筑安装股份有限公司</w:t>
      </w:r>
      <w:r>
        <w:rPr>
          <w:rFonts w:hint="eastAsia" w:ascii="仿宋" w:hAnsi="仿宋" w:eastAsia="仿宋" w:cs="仿宋_GB2312"/>
          <w:sz w:val="28"/>
          <w:szCs w:val="28"/>
          <w:lang w:eastAsia="zh-CN"/>
        </w:rPr>
        <w:t>工程部</w:t>
      </w:r>
      <w:r>
        <w:rPr>
          <w:rFonts w:hint="eastAsia" w:ascii="仿宋" w:hAnsi="仿宋" w:eastAsia="仿宋" w:cs="仿宋_GB2312"/>
          <w:sz w:val="28"/>
          <w:szCs w:val="28"/>
        </w:rPr>
        <w:t>（铜陵市翠湖三路</w:t>
      </w:r>
      <w:r>
        <w:rPr>
          <w:rFonts w:hint="eastAsia" w:ascii="仿宋" w:hAnsi="仿宋" w:eastAsia="仿宋" w:cs="仿宋_GB2312"/>
          <w:sz w:val="28"/>
          <w:szCs w:val="28"/>
          <w:lang w:eastAsia="zh-CN"/>
        </w:rPr>
        <w:t>老家酒业斜对面</w:t>
      </w:r>
      <w:r>
        <w:rPr>
          <w:rFonts w:hint="eastAsia" w:ascii="仿宋" w:hAnsi="仿宋" w:eastAsia="仿宋" w:cs="仿宋_GB2312"/>
          <w:sz w:val="28"/>
          <w:szCs w:val="28"/>
        </w:rPr>
        <w:t>）</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5、联系人：章浩（18705628595）</w:t>
      </w:r>
    </w:p>
    <w:p>
      <w:pPr>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w:t>
      </w:r>
      <w:r>
        <w:rPr>
          <w:rFonts w:hint="eastAsia" w:ascii="仿宋" w:hAnsi="仿宋" w:eastAsia="仿宋" w:cs="仿宋_GB2312"/>
          <w:sz w:val="28"/>
          <w:szCs w:val="28"/>
          <w:u w:val="single"/>
          <w:lang w:eastAsia="zh-CN"/>
        </w:rPr>
        <w:t>翠湖三路老家酒业斜对面</w:t>
      </w:r>
      <w:r>
        <w:rPr>
          <w:rFonts w:hint="eastAsia" w:ascii="仿宋" w:hAnsi="仿宋" w:eastAsia="仿宋" w:cs="仿宋_GB2312"/>
          <w:sz w:val="28"/>
          <w:szCs w:val="28"/>
          <w:u w:val="single"/>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lang w:eastAsia="zh-CN"/>
        </w:rPr>
      </w:pP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ind w:firstLine="638" w:firstLineChars="228"/>
        <w:rPr>
          <w:rFonts w:hint="eastAsia" w:ascii="仿宋" w:hAnsi="仿宋" w:eastAsia="仿宋" w:cs="仿宋_GB2312"/>
          <w:b/>
          <w:bCs/>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b w:val="0"/>
          <w:bCs w:val="0"/>
          <w:sz w:val="28"/>
          <w:szCs w:val="28"/>
          <w:u w:val="single"/>
        </w:rPr>
        <w:t>报价为含税（税率）、含运费</w:t>
      </w:r>
      <w:r>
        <w:rPr>
          <w:rFonts w:hint="eastAsia" w:ascii="仿宋" w:hAnsi="仿宋" w:eastAsia="仿宋" w:cs="仿宋_GB2312"/>
          <w:b w:val="0"/>
          <w:bCs w:val="0"/>
          <w:sz w:val="28"/>
          <w:szCs w:val="28"/>
          <w:u w:val="single"/>
          <w:lang w:eastAsia="zh-CN"/>
        </w:rPr>
        <w:t>、安装调试费等一切措施费。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ind w:firstLine="568" w:firstLineChars="202"/>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eastAsia="zh-CN"/>
        </w:rPr>
        <w:t>（</w:t>
      </w:r>
      <w:r>
        <w:rPr>
          <w:rFonts w:hint="eastAsia" w:ascii="仿宋" w:hAnsi="仿宋" w:eastAsia="仿宋" w:cs="仿宋_GB2312"/>
          <w:b/>
          <w:bCs/>
          <w:sz w:val="28"/>
          <w:szCs w:val="28"/>
          <w:lang w:val="en-US" w:eastAsia="zh-CN"/>
        </w:rPr>
        <w:t>8）货款支付方式：设备改造完成后交付并经买方确认交付数量和运行质量无昇议后，卖方向买方开具符合法律规定的 13 ％增值税发票。如卖方开具的发票不符合法律规定，则买方有权拒付相应部分货款。买方办理收到发票后30日内支付合同总额90%货款，余10%货款质保期到期后一次性付清。</w:t>
      </w:r>
    </w:p>
    <w:p>
      <w:pP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ind w:firstLine="560" w:firstLineChars="200"/>
        <w:rPr>
          <w:rFonts w:hint="eastAsia" w:ascii="仿宋" w:hAnsi="仿宋" w:eastAsia="仿宋" w:cs="仿宋_GB2312"/>
          <w:sz w:val="28"/>
          <w:szCs w:val="28"/>
        </w:rPr>
      </w:pPr>
    </w:p>
    <w:p>
      <w:pPr>
        <w:spacing w:line="600" w:lineRule="exact"/>
        <w:ind w:firstLine="3253" w:firstLineChars="900"/>
        <w:rPr>
          <w:rFonts w:hint="eastAsia" w:ascii="仿宋" w:hAnsi="仿宋" w:eastAsia="仿宋" w:cs="仿宋_GB2312"/>
          <w:b/>
          <w:sz w:val="36"/>
          <w:szCs w:val="36"/>
        </w:rPr>
      </w:pPr>
      <w:bookmarkStart w:id="0" w:name="_GoBack"/>
      <w:bookmarkEnd w:id="0"/>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rPr>
        <w:t>报价单</w:t>
      </w:r>
      <w:r>
        <w:rPr>
          <w:rStyle w:val="48"/>
          <w:rFonts w:hint="eastAsia" w:ascii="仿宋_GB2312" w:hAnsi="仿宋_GB2312" w:eastAsia="仿宋_GB2312" w:cs="仿宋_GB2312"/>
          <w:color w:val="333333"/>
          <w:sz w:val="30"/>
          <w:szCs w:val="30"/>
          <w:lang w:eastAsia="zh-CN"/>
        </w:rPr>
        <w:t>（</w:t>
      </w:r>
      <w:r>
        <w:rPr>
          <w:rFonts w:hint="eastAsia" w:ascii="仿宋" w:hAnsi="仿宋" w:eastAsia="仿宋" w:cs="仿宋_GB2312"/>
          <w:b/>
          <w:bCs/>
          <w:sz w:val="32"/>
          <w:szCs w:val="32"/>
          <w:u w:val="none"/>
        </w:rPr>
        <w:t>TGJA</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JX</w:t>
      </w:r>
      <w:r>
        <w:rPr>
          <w:rFonts w:hint="eastAsia" w:ascii="仿宋" w:hAnsi="仿宋" w:eastAsia="仿宋" w:cs="仿宋_GB2312"/>
          <w:b/>
          <w:bCs/>
          <w:sz w:val="32"/>
          <w:szCs w:val="32"/>
          <w:u w:val="none"/>
          <w:lang w:val="en-US" w:eastAsia="zh-CN"/>
        </w:rPr>
        <w:t>-</w:t>
      </w:r>
      <w:r>
        <w:rPr>
          <w:rFonts w:hint="eastAsia" w:ascii="仿宋" w:hAnsi="仿宋" w:eastAsia="仿宋" w:cs="仿宋_GB2312"/>
          <w:b/>
          <w:bCs/>
          <w:sz w:val="32"/>
          <w:szCs w:val="32"/>
          <w:u w:val="none"/>
        </w:rPr>
        <w:t>202</w:t>
      </w:r>
      <w:r>
        <w:rPr>
          <w:rFonts w:hint="eastAsia" w:ascii="仿宋" w:hAnsi="仿宋" w:eastAsia="仿宋" w:cs="仿宋_GB2312"/>
          <w:b/>
          <w:bCs/>
          <w:sz w:val="32"/>
          <w:szCs w:val="32"/>
          <w:u w:val="none"/>
          <w:lang w:val="en-US" w:eastAsia="zh-CN"/>
        </w:rPr>
        <w:t>3043-2）</w:t>
      </w:r>
    </w:p>
    <w:tbl>
      <w:tblPr>
        <w:tblStyle w:val="45"/>
        <w:tblpPr w:leftFromText="180" w:rightFromText="180" w:vertAnchor="text" w:horzAnchor="page" w:tblpX="1663" w:tblpY="174"/>
        <w:tblOverlap w:val="never"/>
        <w:tblW w:w="13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638"/>
        <w:gridCol w:w="3968"/>
        <w:gridCol w:w="679"/>
        <w:gridCol w:w="726"/>
        <w:gridCol w:w="1200"/>
        <w:gridCol w:w="1377"/>
        <w:gridCol w:w="522"/>
        <w:gridCol w:w="41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3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3968"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参数</w:t>
            </w:r>
          </w:p>
        </w:tc>
        <w:tc>
          <w:tcPr>
            <w:tcW w:w="67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726"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0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377"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941"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2659"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5" w:type="dxa"/>
            <w:shd w:val="clear" w:color="auto" w:fill="FFFFFF"/>
            <w:noWrap w:val="0"/>
            <w:vAlign w:val="center"/>
          </w:tcPr>
          <w:p>
            <w:pPr>
              <w:widowControl w:val="0"/>
              <w:jc w:val="center"/>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1</w:t>
            </w:r>
          </w:p>
        </w:tc>
        <w:tc>
          <w:tcPr>
            <w:tcW w:w="1638" w:type="dxa"/>
            <w:noWrap w:val="0"/>
            <w:vAlign w:val="center"/>
          </w:tcPr>
          <w:p>
            <w:pPr>
              <w:widowControl w:val="0"/>
              <w:jc w:val="both"/>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搅拌机大修</w:t>
            </w:r>
          </w:p>
        </w:tc>
        <w:tc>
          <w:tcPr>
            <w:tcW w:w="3968" w:type="dxa"/>
            <w:noWrap w:val="0"/>
            <w:vAlign w:val="center"/>
          </w:tcPr>
          <w:p>
            <w:pPr>
              <w:widowControl w:val="0"/>
              <w:jc w:val="left"/>
              <w:rPr>
                <w:rFonts w:hint="eastAsia"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详见招标内容</w:t>
            </w:r>
          </w:p>
        </w:tc>
        <w:tc>
          <w:tcPr>
            <w:tcW w:w="679" w:type="dxa"/>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2</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eastAsia" w:ascii="宋体" w:hAnsi="宋体" w:eastAsia="宋体" w:cs="宋体"/>
                <w:b/>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2</w:t>
            </w:r>
          </w:p>
        </w:tc>
        <w:tc>
          <w:tcPr>
            <w:tcW w:w="5606" w:type="dxa"/>
            <w:gridSpan w:val="2"/>
            <w:noWrap w:val="0"/>
            <w:vAlign w:val="center"/>
          </w:tcPr>
          <w:p>
            <w:pPr>
              <w:widowControl w:val="0"/>
              <w:jc w:val="center"/>
              <w:rPr>
                <w:rFonts w:hint="eastAsia" w:ascii="宋体" w:hAnsi="宋体" w:eastAsia="宋体" w:cs="宋体"/>
                <w:b/>
                <w:bCs/>
                <w:sz w:val="22"/>
                <w:szCs w:val="22"/>
                <w:lang w:eastAsia="zh-CN"/>
              </w:rPr>
            </w:pPr>
            <w:r>
              <w:rPr>
                <w:rFonts w:hint="eastAsia" w:ascii="宋体" w:hAnsi="宋体" w:cs="宋体"/>
                <w:b/>
                <w:bCs/>
                <w:sz w:val="22"/>
                <w:szCs w:val="22"/>
                <w:lang w:eastAsia="zh-CN"/>
              </w:rPr>
              <w:t>合计</w:t>
            </w:r>
          </w:p>
        </w:tc>
        <w:tc>
          <w:tcPr>
            <w:tcW w:w="679" w:type="dxa"/>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台</w:t>
            </w:r>
          </w:p>
        </w:tc>
        <w:tc>
          <w:tcPr>
            <w:tcW w:w="726" w:type="dxa"/>
            <w:noWrap w:val="0"/>
            <w:vAlign w:val="center"/>
          </w:tcPr>
          <w:p>
            <w:pPr>
              <w:widowControl w:val="0"/>
              <w:jc w:val="center"/>
              <w:rPr>
                <w:rFonts w:hint="default" w:ascii="宋体" w:hAnsi="宋体" w:cs="宋体"/>
                <w:b/>
                <w:bCs/>
                <w:sz w:val="22"/>
                <w:szCs w:val="22"/>
                <w:lang w:val="en-US" w:eastAsia="zh-CN"/>
              </w:rPr>
            </w:pPr>
            <w:r>
              <w:rPr>
                <w:rFonts w:hint="eastAsia" w:ascii="宋体" w:hAnsi="宋体" w:cs="宋体"/>
                <w:b w:val="0"/>
                <w:bCs w:val="0"/>
                <w:kern w:val="2"/>
                <w:sz w:val="22"/>
                <w:szCs w:val="22"/>
                <w:lang w:val="en-US" w:eastAsia="zh-CN" w:bidi="ar-SA"/>
              </w:rPr>
              <w:t>2</w:t>
            </w:r>
          </w:p>
        </w:tc>
        <w:tc>
          <w:tcPr>
            <w:tcW w:w="1200" w:type="dxa"/>
            <w:noWrap w:val="0"/>
            <w:vAlign w:val="center"/>
          </w:tcPr>
          <w:p>
            <w:pPr>
              <w:widowControl w:val="0"/>
              <w:jc w:val="both"/>
              <w:rPr>
                <w:rFonts w:ascii="宋体" w:hAnsi="宋体" w:eastAsia="宋体" w:cs="宋体"/>
                <w:b/>
                <w:bCs/>
                <w:sz w:val="22"/>
                <w:szCs w:val="22"/>
              </w:rPr>
            </w:pPr>
          </w:p>
        </w:tc>
        <w:tc>
          <w:tcPr>
            <w:tcW w:w="1377" w:type="dxa"/>
            <w:noWrap w:val="0"/>
            <w:vAlign w:val="center"/>
          </w:tcPr>
          <w:p>
            <w:pPr>
              <w:widowControl w:val="0"/>
              <w:jc w:val="center"/>
              <w:rPr>
                <w:rFonts w:ascii="宋体" w:hAnsi="宋体" w:eastAsia="宋体" w:cs="宋体"/>
                <w:b/>
                <w:bCs/>
                <w:sz w:val="22"/>
                <w:szCs w:val="22"/>
              </w:rPr>
            </w:pPr>
          </w:p>
        </w:tc>
        <w:tc>
          <w:tcPr>
            <w:tcW w:w="941" w:type="dxa"/>
            <w:gridSpan w:val="2"/>
            <w:noWrap w:val="0"/>
            <w:vAlign w:val="center"/>
          </w:tcPr>
          <w:p>
            <w:pPr>
              <w:widowControl w:val="0"/>
              <w:jc w:val="center"/>
              <w:rPr>
                <w:rFonts w:ascii="宋体" w:hAnsi="宋体" w:eastAsia="宋体" w:cs="宋体"/>
                <w:b/>
                <w:bCs/>
                <w:sz w:val="22"/>
                <w:szCs w:val="22"/>
              </w:rPr>
            </w:pPr>
          </w:p>
        </w:tc>
        <w:tc>
          <w:tcPr>
            <w:tcW w:w="2659" w:type="dxa"/>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475" w:type="dxa"/>
            <w:shd w:val="clear" w:color="auto" w:fill="FFFFFF"/>
            <w:noWrap w:val="0"/>
            <w:vAlign w:val="center"/>
          </w:tcPr>
          <w:p>
            <w:pPr>
              <w:widowControl w:val="0"/>
              <w:jc w:val="cente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3</w:t>
            </w:r>
          </w:p>
        </w:tc>
        <w:tc>
          <w:tcPr>
            <w:tcW w:w="5606" w:type="dxa"/>
            <w:gridSpan w:val="2"/>
            <w:noWrap w:val="0"/>
            <w:vAlign w:val="center"/>
          </w:tcPr>
          <w:p>
            <w:pPr>
              <w:widowControl w:val="0"/>
              <w:jc w:val="center"/>
              <w:rPr>
                <w:rFonts w:hint="eastAsia" w:ascii="宋体" w:hAnsi="宋体" w:cs="宋体"/>
                <w:b/>
                <w:bCs/>
                <w:sz w:val="22"/>
                <w:szCs w:val="22"/>
                <w:lang w:eastAsia="zh-CN"/>
              </w:rPr>
            </w:pPr>
            <w:r>
              <w:rPr>
                <w:rFonts w:hint="eastAsia" w:ascii="宋体" w:hAnsi="宋体" w:cs="宋体"/>
                <w:b/>
                <w:bCs/>
                <w:sz w:val="22"/>
                <w:szCs w:val="22"/>
                <w:lang w:eastAsia="zh-CN"/>
              </w:rPr>
              <w:t>偏离说明</w:t>
            </w:r>
          </w:p>
        </w:tc>
        <w:tc>
          <w:tcPr>
            <w:tcW w:w="7582" w:type="dxa"/>
            <w:gridSpan w:val="7"/>
            <w:noWrap w:val="0"/>
            <w:vAlign w:val="center"/>
          </w:tcPr>
          <w:p>
            <w:pPr>
              <w:widowControl w:val="0"/>
              <w:jc w:val="left"/>
              <w:rPr>
                <w:rFonts w:hint="eastAsia" w:ascii="宋体" w:hAnsi="宋体" w:cs="宋体"/>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3663" w:type="dxa"/>
            <w:gridSpan w:val="10"/>
            <w:shd w:val="clear" w:color="auto" w:fill="FFFFFF"/>
            <w:noWrap w:val="0"/>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3、报价均为含税、含运费</w:t>
            </w:r>
            <w:r>
              <w:rPr>
                <w:rFonts w:hint="eastAsia" w:ascii="仿宋_GB2312" w:hAnsi="仿宋_GB2312" w:eastAsia="仿宋_GB2312" w:cs="仿宋_GB2312"/>
                <w:sz w:val="24"/>
                <w:szCs w:val="24"/>
                <w:lang w:eastAsia="zh-CN"/>
              </w:rPr>
              <w:t>、安装调试费等一切措施费</w:t>
            </w:r>
            <w:r>
              <w:rPr>
                <w:rFonts w:hint="eastAsia" w:ascii="仿宋_GB2312" w:hAnsi="仿宋_GB2312" w:eastAsia="仿宋_GB2312" w:cs="仿宋_GB2312"/>
                <w:sz w:val="24"/>
                <w:szCs w:val="24"/>
              </w:rPr>
              <w:t>；</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如有疑问，请与</w:t>
            </w:r>
            <w:r>
              <w:rPr>
                <w:rFonts w:hint="eastAsia" w:ascii="仿宋_GB2312" w:hAnsi="仿宋_GB2312" w:eastAsia="仿宋_GB2312" w:cs="仿宋_GB2312"/>
                <w:sz w:val="24"/>
                <w:szCs w:val="24"/>
                <w:lang w:eastAsia="zh-CN"/>
              </w:rPr>
              <w:t>王良希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13866842309</w:t>
            </w:r>
            <w:r>
              <w:rPr>
                <w:rFonts w:hint="eastAsia" w:ascii="仿宋_GB2312" w:hAnsi="仿宋_GB2312" w:eastAsia="仿宋_GB2312" w:cs="仿宋_GB2312"/>
                <w:sz w:val="24"/>
                <w:szCs w:val="24"/>
              </w:rPr>
              <w:t>）联系。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60"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shd w:val="clear" w:color="auto" w:fill="FFFFFF"/>
            <w:noWrap w:val="0"/>
            <w:vAlign w:val="center"/>
          </w:tcPr>
          <w:p>
            <w:pPr>
              <w:widowControl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eastAsia="zh-CN"/>
              </w:rPr>
              <w:t>电话：</w:t>
            </w:r>
          </w:p>
        </w:tc>
        <w:tc>
          <w:tcPr>
            <w:tcW w:w="3078"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邮箱</w:t>
            </w:r>
            <w:r>
              <w:rPr>
                <w:rFonts w:hint="eastAsia" w:ascii="仿宋_GB2312" w:hAnsi="仿宋_GB2312" w:eastAsia="仿宋_GB2312" w:cs="仿宋_GB2312"/>
                <w:sz w:val="24"/>
                <w:szCs w:val="24"/>
              </w:rPr>
              <w:t>：</w:t>
            </w:r>
          </w:p>
        </w:tc>
      </w:tr>
    </w:tbl>
    <w:p>
      <w:pPr>
        <w:spacing w:line="240" w:lineRule="auto"/>
        <w:rPr>
          <w:rFonts w:ascii="仿宋" w:hAnsi="仿宋" w:eastAsia="仿宋" w:cs="仿宋_GB2312"/>
          <w:sz w:val="8"/>
          <w:szCs w:val="8"/>
          <w:u w:val="single"/>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AwMDJiZjE4OGNiOWViNmEzMjhlYjUyZDgxYjAxMjQ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B7749"/>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3EB694E"/>
    <w:rsid w:val="048A48C3"/>
    <w:rsid w:val="05BF33B5"/>
    <w:rsid w:val="076152CC"/>
    <w:rsid w:val="0A5C7401"/>
    <w:rsid w:val="0B2B537E"/>
    <w:rsid w:val="0B433A3A"/>
    <w:rsid w:val="0B7042D9"/>
    <w:rsid w:val="0C6241B2"/>
    <w:rsid w:val="0D2B4E23"/>
    <w:rsid w:val="0E876D2F"/>
    <w:rsid w:val="0EC82FD7"/>
    <w:rsid w:val="0EEA79E8"/>
    <w:rsid w:val="0F4F432A"/>
    <w:rsid w:val="0F791AC7"/>
    <w:rsid w:val="10181623"/>
    <w:rsid w:val="10BD1543"/>
    <w:rsid w:val="12A820AD"/>
    <w:rsid w:val="14003AEB"/>
    <w:rsid w:val="144B0F7F"/>
    <w:rsid w:val="15702D95"/>
    <w:rsid w:val="174C6AF7"/>
    <w:rsid w:val="17652D76"/>
    <w:rsid w:val="17D86D23"/>
    <w:rsid w:val="18AF15FD"/>
    <w:rsid w:val="1B59783C"/>
    <w:rsid w:val="1BBF797C"/>
    <w:rsid w:val="1BD05907"/>
    <w:rsid w:val="1D9C4564"/>
    <w:rsid w:val="1DB45D52"/>
    <w:rsid w:val="1DEE2CCA"/>
    <w:rsid w:val="1F4E5E6E"/>
    <w:rsid w:val="1F5D3E3C"/>
    <w:rsid w:val="2037683E"/>
    <w:rsid w:val="223E7710"/>
    <w:rsid w:val="241E2A12"/>
    <w:rsid w:val="24D171E9"/>
    <w:rsid w:val="25590EC9"/>
    <w:rsid w:val="26A26CEB"/>
    <w:rsid w:val="27BF0464"/>
    <w:rsid w:val="286F41F9"/>
    <w:rsid w:val="299D4A4C"/>
    <w:rsid w:val="2A1902C2"/>
    <w:rsid w:val="2AB020F1"/>
    <w:rsid w:val="2BA249BA"/>
    <w:rsid w:val="2BE80223"/>
    <w:rsid w:val="2C995D0F"/>
    <w:rsid w:val="2D3E7816"/>
    <w:rsid w:val="2F8A3DB8"/>
    <w:rsid w:val="302E3043"/>
    <w:rsid w:val="304E0046"/>
    <w:rsid w:val="30D974B7"/>
    <w:rsid w:val="32D54D2A"/>
    <w:rsid w:val="333663C1"/>
    <w:rsid w:val="336F7BD6"/>
    <w:rsid w:val="343C1399"/>
    <w:rsid w:val="34634E47"/>
    <w:rsid w:val="346848DB"/>
    <w:rsid w:val="354F3A99"/>
    <w:rsid w:val="357B16F3"/>
    <w:rsid w:val="358160C2"/>
    <w:rsid w:val="36050FAB"/>
    <w:rsid w:val="3989643E"/>
    <w:rsid w:val="39DC21CB"/>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BC5513"/>
    <w:rsid w:val="46E4533A"/>
    <w:rsid w:val="499425D7"/>
    <w:rsid w:val="499D4ACB"/>
    <w:rsid w:val="4E822997"/>
    <w:rsid w:val="4ED20DFA"/>
    <w:rsid w:val="4F0F5DA2"/>
    <w:rsid w:val="4F397E6D"/>
    <w:rsid w:val="4F54161A"/>
    <w:rsid w:val="504C2BE7"/>
    <w:rsid w:val="51B50E5A"/>
    <w:rsid w:val="554830C1"/>
    <w:rsid w:val="556408FF"/>
    <w:rsid w:val="56B4262E"/>
    <w:rsid w:val="576F2EA8"/>
    <w:rsid w:val="57AF3BC9"/>
    <w:rsid w:val="5807041D"/>
    <w:rsid w:val="583F79D3"/>
    <w:rsid w:val="58691989"/>
    <w:rsid w:val="58F960F8"/>
    <w:rsid w:val="599F0979"/>
    <w:rsid w:val="5C1E1084"/>
    <w:rsid w:val="5C8970A8"/>
    <w:rsid w:val="5C9D7B0A"/>
    <w:rsid w:val="5EE01EF7"/>
    <w:rsid w:val="5F8C2E6B"/>
    <w:rsid w:val="60F035C2"/>
    <w:rsid w:val="63C87647"/>
    <w:rsid w:val="63E45615"/>
    <w:rsid w:val="65D11591"/>
    <w:rsid w:val="679D3A2B"/>
    <w:rsid w:val="6838505E"/>
    <w:rsid w:val="69AD4D95"/>
    <w:rsid w:val="69B54174"/>
    <w:rsid w:val="6A315ABB"/>
    <w:rsid w:val="6A660AE8"/>
    <w:rsid w:val="6A87598F"/>
    <w:rsid w:val="6D0836FD"/>
    <w:rsid w:val="6D4B64C0"/>
    <w:rsid w:val="6DC85CEE"/>
    <w:rsid w:val="6E432179"/>
    <w:rsid w:val="703849D5"/>
    <w:rsid w:val="711712EF"/>
    <w:rsid w:val="74B57A97"/>
    <w:rsid w:val="74E33EE7"/>
    <w:rsid w:val="757D3977"/>
    <w:rsid w:val="77C81C4C"/>
    <w:rsid w:val="793439F5"/>
    <w:rsid w:val="796E3D99"/>
    <w:rsid w:val="79ED6ADC"/>
    <w:rsid w:val="79FA3948"/>
    <w:rsid w:val="7B8D7C88"/>
    <w:rsid w:val="7C252C88"/>
    <w:rsid w:val="7C285660"/>
    <w:rsid w:val="7FE8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5"/>
    <w:link w:val="99"/>
    <w:qFormat/>
    <w:uiPriority w:val="0"/>
    <w:pPr>
      <w:keepNext/>
      <w:keepLines/>
      <w:spacing w:before="260" w:after="260" w:line="415" w:lineRule="auto"/>
      <w:outlineLvl w:val="2"/>
    </w:pPr>
    <w:rPr>
      <w:b/>
      <w:bCs/>
      <w:sz w:val="32"/>
      <w:szCs w:val="32"/>
    </w:rPr>
  </w:style>
  <w:style w:type="paragraph" w:styleId="6">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1"/>
    <w:qFormat/>
    <w:uiPriority w:val="0"/>
    <w:pPr>
      <w:keepNext/>
      <w:keepLines/>
      <w:spacing w:before="280" w:after="290" w:line="372" w:lineRule="auto"/>
      <w:outlineLvl w:val="4"/>
    </w:pPr>
    <w:rPr>
      <w:b/>
      <w:bCs/>
      <w:sz w:val="28"/>
      <w:szCs w:val="28"/>
    </w:rPr>
  </w:style>
  <w:style w:type="paragraph" w:styleId="8">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0"/>
    <w:qFormat/>
    <w:uiPriority w:val="0"/>
    <w:pPr>
      <w:ind w:firstLine="420" w:firstLineChars="200"/>
    </w:p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autoRedefine/>
    <w:qFormat/>
    <w:uiPriority w:val="0"/>
    <w:pPr>
      <w:ind w:left="210"/>
      <w:jc w:val="left"/>
    </w:pPr>
    <w:rPr>
      <w:smallCaps/>
      <w:sz w:val="20"/>
      <w:szCs w:val="20"/>
    </w:rPr>
  </w:style>
  <w:style w:type="paragraph" w:styleId="39">
    <w:name w:val="toc 9"/>
    <w:basedOn w:val="1"/>
    <w:next w:val="1"/>
    <w:autoRedefine/>
    <w:qFormat/>
    <w:uiPriority w:val="0"/>
    <w:pPr>
      <w:ind w:left="1680"/>
      <w:jc w:val="left"/>
    </w:pPr>
    <w:rPr>
      <w:sz w:val="18"/>
      <w:szCs w:val="18"/>
    </w:rPr>
  </w:style>
  <w:style w:type="paragraph" w:styleId="4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semiHidden/>
    <w:qFormat/>
    <w:uiPriority w:val="0"/>
    <w:pPr>
      <w:spacing w:line="480" w:lineRule="auto"/>
      <w:jc w:val="center"/>
    </w:pPr>
    <w:rPr>
      <w:sz w:val="32"/>
    </w:rPr>
  </w:style>
  <w:style w:type="paragraph" w:styleId="43">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9"/>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6"/>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10"/>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5"/>
    <w:qFormat/>
    <w:uiPriority w:val="0"/>
    <w:rPr>
      <w:rFonts w:eastAsia="宋体"/>
      <w:kern w:val="2"/>
      <w:sz w:val="21"/>
      <w:szCs w:val="24"/>
      <w:lang w:val="en-US" w:eastAsia="zh-CN" w:bidi="ar-SA"/>
    </w:rPr>
  </w:style>
  <w:style w:type="character" w:customStyle="1" w:styleId="91">
    <w:name w:val="标题 5 Char"/>
    <w:link w:val="7"/>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8"/>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1"/>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paragraph" w:customStyle="1" w:styleId="153">
    <w:name w:val="List Paragraph"/>
    <w:basedOn w:val="1"/>
    <w:qFormat/>
    <w:uiPriority w:val="0"/>
    <w:pPr>
      <w:spacing w:line="240" w:lineRule="auto"/>
      <w:ind w:firstLine="420"/>
    </w:pPr>
    <w:rPr>
      <w:rFonts w:ascii="Calibri" w:hAnsi="Calibri"/>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12</Pages>
  <Words>2531</Words>
  <Characters>2756</Characters>
  <Lines>23</Lines>
  <Paragraphs>6</Paragraphs>
  <TotalTime>55</TotalTime>
  <ScaleCrop>false</ScaleCrop>
  <LinksUpToDate>false</LinksUpToDate>
  <CharactersWithSpaces>2799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微信用户</cp:lastModifiedBy>
  <cp:lastPrinted>2019-05-06T09:43:00Z</cp:lastPrinted>
  <dcterms:modified xsi:type="dcterms:W3CDTF">2024-01-02T00:18:59Z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C9A299A3812E4AEA96CB9FF63494EDAF_12</vt:lpwstr>
  </property>
</Properties>
</file>