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path/>
            <v:fill on="f" focussize="0,0"/>
            <v:stroke on="f" joinstyle="miter"/>
            <v:imagedata o:title=""/>
            <o:lock v:ext="edit"/>
            <v:textbox inset="0mm,0mm,0mm,0mm" style="mso-fit-shape-to-text:t;">
              <w:txbxContent>
                <w:p/>
              </w:txbxContent>
            </v:textbox>
          </v:shape>
        </w:pic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ascii="仿宋" w:hAnsi="仿宋" w:eastAsia="仿宋" w:cs="宋体"/>
          <w:b/>
          <w:bCs/>
          <w:kern w:val="1"/>
          <w:sz w:val="44"/>
          <w:szCs w:val="44"/>
          <w:highlight w:val="none"/>
          <w:u w:val="single"/>
        </w:rPr>
      </w:pPr>
      <w:r>
        <w:rPr>
          <w:rFonts w:hint="eastAsia" w:ascii="仿宋" w:hAnsi="仿宋" w:eastAsia="仿宋" w:cs="宋体"/>
          <w:b/>
          <w:bCs/>
          <w:kern w:val="1"/>
          <w:sz w:val="44"/>
          <w:szCs w:val="44"/>
          <w:highlight w:val="none"/>
          <w:u w:val="single"/>
        </w:rPr>
        <w:t>铜陵铜冠建安第二事业部</w:t>
      </w:r>
    </w:p>
    <w:p>
      <w:pPr>
        <w:spacing w:line="560" w:lineRule="exact"/>
        <w:jc w:val="center"/>
        <w:rPr>
          <w:rFonts w:ascii="仿宋" w:hAnsi="仿宋" w:eastAsia="仿宋" w:cs="宋体"/>
          <w:b/>
          <w:bCs/>
          <w:kern w:val="1"/>
          <w:sz w:val="44"/>
          <w:szCs w:val="44"/>
          <w:highlight w:val="none"/>
          <w:u w:val="single"/>
        </w:rPr>
      </w:pPr>
      <w:r>
        <w:rPr>
          <w:rFonts w:hint="eastAsia" w:ascii="仿宋" w:hAnsi="仿宋" w:eastAsia="仿宋" w:cs="宋体"/>
          <w:b/>
          <w:bCs/>
          <w:kern w:val="1"/>
          <w:sz w:val="44"/>
          <w:szCs w:val="44"/>
          <w:highlight w:val="none"/>
          <w:u w:val="single"/>
        </w:rPr>
        <w:t>铜基项目槽钢转接件等装饰材料</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TGJA-WZ-202414</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一、招标日程安排</w:t>
      </w:r>
    </w:p>
    <w:p>
      <w:pPr>
        <w:spacing w:line="360" w:lineRule="auto"/>
        <w:rPr>
          <w:rFonts w:ascii="仿宋" w:hAnsi="仿宋" w:eastAsia="仿宋" w:cs="仿宋_GB2312"/>
          <w:b/>
          <w:sz w:val="24"/>
          <w:highlight w:val="none"/>
        </w:rPr>
      </w:pPr>
      <w:bookmarkStart w:id="0" w:name="_GoBack"/>
      <w:bookmarkEnd w:id="0"/>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2024年1月25日9:00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2024年1月25日9:00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本次招标的具体内容如下：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本次招标数量是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2、投标人须为一般纳税人,开具13%增值税专用发票。</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2024年1月24日12:00止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rPr>
        <w:t>肆仟</w:t>
      </w:r>
      <w:r>
        <w:rPr>
          <w:rFonts w:hint="eastAsia" w:ascii="仿宋" w:hAnsi="仿宋" w:eastAsia="仿宋" w:cs="仿宋_GB2312"/>
          <w:b/>
          <w:bCs/>
          <w:color w:val="000000"/>
          <w:sz w:val="24"/>
          <w:highlight w:val="none"/>
          <w:u w:val="single"/>
        </w:rPr>
        <w:t>元整</w:t>
      </w:r>
      <w:r>
        <w:rPr>
          <w:rFonts w:hint="eastAsia" w:ascii="仿宋" w:hAnsi="仿宋" w:eastAsia="仿宋" w:cs="仿宋_GB2312"/>
          <w:color w:val="000000"/>
          <w:sz w:val="24"/>
          <w:highlight w:val="none"/>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铜陵铜冠建安第二事业部铜基项目TGJA-WZ-202414投标保证金。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2024年1月25日9:00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ascii="仿宋" w:hAnsi="仿宋" w:eastAsia="仿宋" w:cs="仿宋"/>
          <w:sz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材料质量要求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
          <w:sz w:val="24"/>
          <w:highlight w:val="none"/>
        </w:rPr>
        <w:t>应符合国家最新质量标准和招标文件要求。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（2）投标人如若中标，提供的材料必须符合技术指标要求。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材料送至铜冠建安公司铜陵市铜基项目施工现场。</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（1）本次招标价为含税含运费一票制价格。</w:t>
      </w:r>
    </w:p>
    <w:p>
      <w:pPr>
        <w:spacing w:line="360" w:lineRule="auto"/>
        <w:ind w:left="560"/>
        <w:rPr>
          <w:rFonts w:ascii="仿宋" w:hAnsi="仿宋" w:eastAsia="仿宋" w:cs="仿宋_GB2312"/>
          <w:sz w:val="24"/>
          <w:highlight w:val="none"/>
        </w:rPr>
      </w:pPr>
      <w:r>
        <w:rPr>
          <w:rFonts w:hint="eastAsia" w:ascii="仿宋" w:hAnsi="仿宋" w:eastAsia="仿宋" w:cs="仿宋_GB2312"/>
          <w:sz w:val="24"/>
          <w:highlight w:val="none"/>
        </w:rPr>
        <w:t>（2）一经中标，合同期内价格不予调整。</w:t>
      </w:r>
    </w:p>
    <w:p>
      <w:pPr>
        <w:spacing w:line="360" w:lineRule="auto"/>
        <w:ind w:left="560"/>
        <w:rPr>
          <w:rFonts w:ascii="仿宋" w:hAnsi="仿宋" w:eastAsia="仿宋" w:cs="仿宋_GB2312"/>
          <w:sz w:val="24"/>
          <w:highlight w:val="none"/>
        </w:rPr>
      </w:pPr>
      <w:r>
        <w:rPr>
          <w:rFonts w:hint="eastAsia" w:ascii="仿宋" w:hAnsi="仿宋" w:eastAsia="仿宋" w:cs="仿宋_GB2312"/>
          <w:sz w:val="24"/>
          <w:highlight w:val="none"/>
        </w:rPr>
        <w:t>（3）本次竞价总价设最高限价（含13%税价），最高限价200000元，超过最高限价的报价（含本数）将做为废标处理。</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ascii="仿宋" w:hAnsi="仿宋" w:eastAsia="仿宋" w:cs="仿宋_GB2312"/>
          <w:spacing w:val="-17"/>
          <w:sz w:val="24"/>
          <w:highlight w:val="none"/>
        </w:rPr>
      </w:pPr>
      <w:r>
        <w:rPr>
          <w:rFonts w:hint="eastAsia" w:ascii="仿宋" w:hAnsi="仿宋" w:eastAsia="仿宋" w:cs="仿宋_GB2312"/>
          <w:sz w:val="24"/>
          <w:highlight w:val="none"/>
          <w:u w:val="single"/>
        </w:rPr>
        <w:t>各投标单位报价须谨慎，一旦中标不得以任何理由变更报价</w:t>
      </w:r>
      <w:r>
        <w:rPr>
          <w:rFonts w:hint="eastAsia" w:ascii="仿宋" w:hAnsi="仿宋" w:eastAsia="仿宋" w:cs="仿宋_GB2312"/>
          <w:spacing w:val="-17"/>
          <w:sz w:val="24"/>
          <w:highlight w:val="none"/>
          <w:u w:val="singl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8、付款方式</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color w:val="000000" w:themeColor="text1"/>
          <w:sz w:val="24"/>
          <w:highlight w:val="none"/>
          <w:u w:val="single"/>
        </w:rPr>
        <w:t>合同签订后，</w:t>
      </w:r>
      <w:r>
        <w:rPr>
          <w:rFonts w:hint="eastAsia" w:ascii="仿宋" w:hAnsi="仿宋" w:eastAsia="仿宋" w:cs="仿宋"/>
          <w:color w:val="000000" w:themeColor="text1"/>
          <w:sz w:val="24"/>
          <w:highlight w:val="none"/>
          <w:u w:val="single"/>
        </w:rPr>
        <w:t>货到验收合格后开具发票，入账次月支付40%，春节前支付至80%，剩余20%该春节后两年内付清。</w:t>
      </w:r>
      <w:r>
        <w:rPr>
          <w:rFonts w:hint="eastAsia" w:ascii="仿宋" w:hAnsi="仿宋" w:eastAsia="仿宋" w:cs="仿宋"/>
          <w:color w:val="171A1D"/>
          <w:sz w:val="24"/>
          <w:highlight w:val="none"/>
          <w:u w:val="single"/>
          <w:shd w:val="clear" w:color="auto" w:fill="FFFFFF"/>
        </w:rPr>
        <w:t>货款以对公转账方式支付至供方对公账户，支付电汇或不超过发票总金额50%的6个月内电子承兑。</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1、评标由铜冠建安公司纪委随机临时确定评委并组建的评标委员会负责。</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2、评标原则：评标活动遵循公平、公正、科学和择优的原则。</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3、评标：</w:t>
      </w:r>
      <w:r>
        <w:rPr>
          <w:rFonts w:hint="eastAsia" w:ascii="仿宋" w:hAnsi="仿宋" w:eastAsia="仿宋" w:cs="仿宋_GB2312"/>
          <w:sz w:val="24"/>
          <w:highlight w:val="none"/>
          <w:u w:val="single"/>
        </w:rPr>
        <w:t>本次评标以价格为评标依据，采取“最低价中标法”评标。即以经评委会审核，剔除偏离市场行情较大的恶意报价后的报价进行排序。</w:t>
      </w:r>
      <w:r>
        <w:rPr>
          <w:rFonts w:hint="eastAsia" w:ascii="仿宋" w:hAnsi="仿宋" w:eastAsia="仿宋" w:cs="仿宋_GB2312"/>
          <w:sz w:val="24"/>
          <w:highlight w:val="none"/>
        </w:rPr>
        <w:t>本次招标设置控制价，具体见第八章第4条。</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4、中标候选人推荐：</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评标委员会将根据所有投标人的报价选择最低报价的投标单位为预中标单位。</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5、中标通知：招标人以书面形式向中标人发出中标通知书。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6、招标人和中标人应当自中标通知书发出之日起</w:t>
      </w:r>
      <w:r>
        <w:rPr>
          <w:rFonts w:hint="eastAsia" w:ascii="仿宋" w:hAnsi="仿宋" w:eastAsia="仿宋" w:cs="仿宋_GB2312"/>
          <w:b/>
          <w:bCs/>
          <w:color w:val="C00000"/>
          <w:sz w:val="24"/>
          <w:highlight w:val="none"/>
        </w:rPr>
        <w:t>7</w:t>
      </w:r>
      <w:r>
        <w:rPr>
          <w:rFonts w:hint="eastAsia" w:ascii="仿宋" w:hAnsi="仿宋" w:eastAsia="仿宋" w:cs="仿宋_GB2312"/>
          <w:sz w:val="24"/>
          <w:highlight w:val="none"/>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0"/>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报价单（TGJA-WZ-202414）：</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587"/>
        <w:gridCol w:w="1594"/>
        <w:gridCol w:w="849"/>
        <w:gridCol w:w="982"/>
        <w:gridCol w:w="1488"/>
        <w:gridCol w:w="2333"/>
        <w:gridCol w:w="1417"/>
        <w:gridCol w:w="1055"/>
        <w:gridCol w:w="1301"/>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523"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序号</w:t>
            </w:r>
          </w:p>
        </w:tc>
        <w:tc>
          <w:tcPr>
            <w:tcW w:w="1587"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物料名称</w:t>
            </w:r>
          </w:p>
        </w:tc>
        <w:tc>
          <w:tcPr>
            <w:tcW w:w="1594"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型号规格</w:t>
            </w:r>
          </w:p>
        </w:tc>
        <w:tc>
          <w:tcPr>
            <w:tcW w:w="849"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单位</w:t>
            </w:r>
          </w:p>
        </w:tc>
        <w:tc>
          <w:tcPr>
            <w:tcW w:w="982"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数量</w:t>
            </w:r>
          </w:p>
        </w:tc>
        <w:tc>
          <w:tcPr>
            <w:tcW w:w="1488"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含税含运费单价</w:t>
            </w:r>
            <w:r>
              <w:rPr>
                <w:rFonts w:hint="eastAsia" w:ascii="仿宋" w:hAnsi="仿宋" w:eastAsia="仿宋"/>
                <w:color w:val="FF0000"/>
                <w:sz w:val="24"/>
                <w:highlight w:val="none"/>
              </w:rPr>
              <w:t>*</w:t>
            </w:r>
          </w:p>
        </w:tc>
        <w:tc>
          <w:tcPr>
            <w:tcW w:w="2333" w:type="dxa"/>
            <w:vAlign w:val="center"/>
          </w:tcPr>
          <w:p>
            <w:pPr>
              <w:spacing w:line="400" w:lineRule="exact"/>
              <w:jc w:val="center"/>
              <w:rPr>
                <w:rFonts w:ascii="仿宋" w:hAnsi="仿宋" w:eastAsia="仿宋"/>
                <w:sz w:val="24"/>
                <w:highlight w:val="none"/>
              </w:rPr>
            </w:pPr>
            <w:r>
              <w:rPr>
                <w:rFonts w:ascii="仿宋" w:hAnsi="仿宋" w:eastAsia="仿宋"/>
                <w:sz w:val="24"/>
                <w:highlight w:val="none"/>
              </w:rPr>
              <w:t>含税</w:t>
            </w:r>
            <w:r>
              <w:rPr>
                <w:rFonts w:hint="eastAsia" w:ascii="仿宋" w:hAnsi="仿宋" w:eastAsia="仿宋"/>
                <w:sz w:val="24"/>
                <w:highlight w:val="none"/>
              </w:rPr>
              <w:t>含运费</w:t>
            </w:r>
          </w:p>
          <w:p>
            <w:pPr>
              <w:spacing w:line="400" w:lineRule="exact"/>
              <w:jc w:val="center"/>
              <w:rPr>
                <w:rFonts w:ascii="仿宋" w:hAnsi="仿宋" w:eastAsia="仿宋"/>
                <w:sz w:val="24"/>
                <w:highlight w:val="none"/>
              </w:rPr>
            </w:pPr>
            <w:r>
              <w:rPr>
                <w:rFonts w:ascii="仿宋" w:hAnsi="仿宋" w:eastAsia="仿宋"/>
                <w:sz w:val="24"/>
                <w:highlight w:val="none"/>
              </w:rPr>
              <w:t>金额</w:t>
            </w:r>
            <w:r>
              <w:rPr>
                <w:rFonts w:hint="eastAsia" w:ascii="仿宋" w:hAnsi="仿宋" w:eastAsia="仿宋"/>
                <w:color w:val="FF0000"/>
                <w:sz w:val="24"/>
                <w:highlight w:val="none"/>
              </w:rPr>
              <w:t>*</w:t>
            </w:r>
          </w:p>
        </w:tc>
        <w:tc>
          <w:tcPr>
            <w:tcW w:w="1417"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税率</w:t>
            </w:r>
            <w:r>
              <w:rPr>
                <w:rFonts w:hint="eastAsia" w:ascii="仿宋" w:hAnsi="仿宋" w:eastAsia="仿宋"/>
                <w:color w:val="FF0000"/>
                <w:sz w:val="24"/>
                <w:highlight w:val="none"/>
              </w:rPr>
              <w:t>*</w:t>
            </w:r>
          </w:p>
        </w:tc>
        <w:tc>
          <w:tcPr>
            <w:tcW w:w="2356"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是否为增值税专用发票</w:t>
            </w:r>
            <w:r>
              <w:rPr>
                <w:rFonts w:hint="eastAsia" w:ascii="仿宋" w:hAnsi="仿宋" w:eastAsia="仿宋"/>
                <w:color w:val="FF0000"/>
                <w:sz w:val="24"/>
                <w:highlight w:val="none"/>
              </w:rPr>
              <w:t>*</w:t>
            </w:r>
          </w:p>
        </w:tc>
        <w:tc>
          <w:tcPr>
            <w:tcW w:w="2314"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1</w:t>
            </w:r>
          </w:p>
        </w:tc>
        <w:tc>
          <w:tcPr>
            <w:tcW w:w="1587" w:type="dxa"/>
            <w:vAlign w:val="center"/>
          </w:tcPr>
          <w:p>
            <w:pPr>
              <w:jc w:val="center"/>
              <w:rPr>
                <w:rFonts w:ascii="等线" w:hAnsi="宋体" w:eastAsia="等线" w:cs="宋体"/>
                <w:color w:val="000000"/>
                <w:sz w:val="22"/>
                <w:szCs w:val="22"/>
                <w:highlight w:val="none"/>
              </w:rPr>
            </w:pPr>
            <w:r>
              <w:rPr>
                <w:rFonts w:hint="eastAsia" w:ascii="等线" w:eastAsia="等线"/>
                <w:color w:val="000000"/>
                <w:sz w:val="22"/>
                <w:szCs w:val="22"/>
                <w:highlight w:val="none"/>
              </w:rPr>
              <w:t>镀鋅预埋铁板</w:t>
            </w:r>
          </w:p>
        </w:tc>
        <w:tc>
          <w:tcPr>
            <w:tcW w:w="1594" w:type="dxa"/>
            <w:vAlign w:val="center"/>
          </w:tcPr>
          <w:p>
            <w:pPr>
              <w:jc w:val="center"/>
              <w:rPr>
                <w:rFonts w:ascii="等线" w:hAnsi="宋体" w:eastAsia="等线" w:cs="宋体"/>
                <w:color w:val="000000"/>
                <w:sz w:val="22"/>
                <w:szCs w:val="22"/>
                <w:highlight w:val="none"/>
              </w:rPr>
            </w:pPr>
            <w:r>
              <w:rPr>
                <w:rFonts w:hint="eastAsia" w:ascii="等线" w:eastAsia="等线"/>
                <w:color w:val="000000"/>
                <w:sz w:val="22"/>
                <w:szCs w:val="22"/>
                <w:highlight w:val="none"/>
              </w:rPr>
              <w:t>220*300</w:t>
            </w:r>
          </w:p>
        </w:tc>
        <w:tc>
          <w:tcPr>
            <w:tcW w:w="849" w:type="dxa"/>
            <w:vAlign w:val="center"/>
          </w:tcPr>
          <w:p>
            <w:pPr>
              <w:jc w:val="center"/>
              <w:rPr>
                <w:rFonts w:ascii="等线" w:hAnsi="宋体" w:eastAsia="等线" w:cs="宋体"/>
                <w:color w:val="000000"/>
                <w:sz w:val="22"/>
                <w:szCs w:val="22"/>
                <w:highlight w:val="none"/>
              </w:rPr>
            </w:pPr>
            <w:r>
              <w:rPr>
                <w:rFonts w:hint="eastAsia" w:ascii="等线" w:eastAsia="等线"/>
                <w:color w:val="000000"/>
                <w:sz w:val="22"/>
                <w:szCs w:val="22"/>
                <w:highlight w:val="none"/>
              </w:rPr>
              <w:t>块</w:t>
            </w:r>
          </w:p>
        </w:tc>
        <w:tc>
          <w:tcPr>
            <w:tcW w:w="982" w:type="dxa"/>
            <w:vAlign w:val="center"/>
          </w:tcPr>
          <w:p>
            <w:pPr>
              <w:jc w:val="center"/>
              <w:rPr>
                <w:rFonts w:ascii="等线" w:hAnsi="宋体" w:eastAsia="等线" w:cs="宋体"/>
                <w:color w:val="000000"/>
                <w:sz w:val="22"/>
                <w:szCs w:val="22"/>
                <w:highlight w:val="none"/>
              </w:rPr>
            </w:pPr>
            <w:r>
              <w:rPr>
                <w:rFonts w:hint="eastAsia" w:ascii="等线" w:eastAsia="等线"/>
                <w:color w:val="000000"/>
                <w:sz w:val="22"/>
                <w:szCs w:val="22"/>
                <w:highlight w:val="none"/>
              </w:rPr>
              <w:t>2600</w:t>
            </w:r>
          </w:p>
        </w:tc>
        <w:tc>
          <w:tcPr>
            <w:tcW w:w="1488" w:type="dxa"/>
            <w:vAlign w:val="center"/>
          </w:tcPr>
          <w:p>
            <w:pPr>
              <w:spacing w:line="400" w:lineRule="exact"/>
              <w:jc w:val="center"/>
              <w:rPr>
                <w:rFonts w:ascii="仿宋" w:hAnsi="仿宋" w:eastAsia="仿宋"/>
                <w:sz w:val="24"/>
                <w:highlight w:val="none"/>
              </w:rPr>
            </w:pPr>
          </w:p>
        </w:tc>
        <w:tc>
          <w:tcPr>
            <w:tcW w:w="2333" w:type="dxa"/>
            <w:vAlign w:val="center"/>
          </w:tcPr>
          <w:p>
            <w:pPr>
              <w:spacing w:line="400" w:lineRule="exact"/>
              <w:jc w:val="center"/>
              <w:rPr>
                <w:rFonts w:ascii="仿宋" w:hAnsi="仿宋" w:eastAsia="仿宋"/>
                <w:sz w:val="24"/>
                <w:highlight w:val="none"/>
              </w:rPr>
            </w:pPr>
          </w:p>
        </w:tc>
        <w:tc>
          <w:tcPr>
            <w:tcW w:w="1417"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2</w:t>
            </w:r>
          </w:p>
        </w:tc>
        <w:tc>
          <w:tcPr>
            <w:tcW w:w="1587" w:type="dxa"/>
            <w:vAlign w:val="center"/>
          </w:tcPr>
          <w:p>
            <w:pPr>
              <w:jc w:val="center"/>
              <w:rPr>
                <w:rFonts w:ascii="等线" w:hAnsi="宋体" w:eastAsia="等线" w:cs="宋体"/>
                <w:color w:val="000000"/>
                <w:sz w:val="22"/>
                <w:szCs w:val="22"/>
                <w:highlight w:val="none"/>
              </w:rPr>
            </w:pPr>
            <w:r>
              <w:rPr>
                <w:rFonts w:hint="eastAsia" w:ascii="等线" w:eastAsia="等线"/>
                <w:color w:val="000000"/>
                <w:sz w:val="22"/>
                <w:szCs w:val="22"/>
                <w:highlight w:val="none"/>
              </w:rPr>
              <w:t>镀锌角码</w:t>
            </w:r>
          </w:p>
        </w:tc>
        <w:tc>
          <w:tcPr>
            <w:tcW w:w="1594" w:type="dxa"/>
            <w:vAlign w:val="center"/>
          </w:tcPr>
          <w:p>
            <w:pPr>
              <w:jc w:val="center"/>
              <w:rPr>
                <w:rFonts w:ascii="等线" w:hAnsi="宋体" w:eastAsia="等线" w:cs="宋体"/>
                <w:color w:val="000000"/>
                <w:sz w:val="22"/>
                <w:szCs w:val="22"/>
                <w:highlight w:val="none"/>
              </w:rPr>
            </w:pPr>
            <w:r>
              <w:rPr>
                <w:rFonts w:hint="eastAsia" w:ascii="等线" w:eastAsia="等线"/>
                <w:color w:val="000000"/>
                <w:sz w:val="22"/>
                <w:szCs w:val="22"/>
                <w:highlight w:val="none"/>
              </w:rPr>
              <w:t>50*50*5</w:t>
            </w:r>
          </w:p>
        </w:tc>
        <w:tc>
          <w:tcPr>
            <w:tcW w:w="849" w:type="dxa"/>
            <w:vAlign w:val="center"/>
          </w:tcPr>
          <w:p>
            <w:pPr>
              <w:jc w:val="center"/>
              <w:rPr>
                <w:rFonts w:ascii="等线" w:hAnsi="宋体" w:eastAsia="等线" w:cs="宋体"/>
                <w:color w:val="000000"/>
                <w:sz w:val="22"/>
                <w:szCs w:val="22"/>
                <w:highlight w:val="none"/>
              </w:rPr>
            </w:pPr>
            <w:r>
              <w:rPr>
                <w:rFonts w:hint="eastAsia" w:ascii="等线" w:eastAsia="等线"/>
                <w:color w:val="000000"/>
                <w:sz w:val="22"/>
                <w:szCs w:val="22"/>
                <w:highlight w:val="none"/>
              </w:rPr>
              <w:t>只</w:t>
            </w:r>
          </w:p>
        </w:tc>
        <w:tc>
          <w:tcPr>
            <w:tcW w:w="982" w:type="dxa"/>
            <w:vAlign w:val="center"/>
          </w:tcPr>
          <w:p>
            <w:pPr>
              <w:jc w:val="center"/>
              <w:rPr>
                <w:rFonts w:ascii="等线" w:hAnsi="宋体" w:eastAsia="等线" w:cs="宋体"/>
                <w:color w:val="000000"/>
                <w:sz w:val="22"/>
                <w:szCs w:val="22"/>
                <w:highlight w:val="none"/>
              </w:rPr>
            </w:pPr>
            <w:r>
              <w:rPr>
                <w:rFonts w:hint="eastAsia" w:ascii="等线" w:eastAsia="等线"/>
                <w:color w:val="000000"/>
                <w:sz w:val="22"/>
                <w:szCs w:val="22"/>
                <w:highlight w:val="none"/>
              </w:rPr>
              <w:t>7000</w:t>
            </w:r>
          </w:p>
        </w:tc>
        <w:tc>
          <w:tcPr>
            <w:tcW w:w="1488" w:type="dxa"/>
            <w:vAlign w:val="center"/>
          </w:tcPr>
          <w:p>
            <w:pPr>
              <w:spacing w:line="400" w:lineRule="exact"/>
              <w:jc w:val="center"/>
              <w:rPr>
                <w:rFonts w:ascii="仿宋" w:hAnsi="仿宋" w:eastAsia="仿宋"/>
                <w:sz w:val="24"/>
                <w:highlight w:val="none"/>
              </w:rPr>
            </w:pPr>
          </w:p>
        </w:tc>
        <w:tc>
          <w:tcPr>
            <w:tcW w:w="2333" w:type="dxa"/>
            <w:vAlign w:val="center"/>
          </w:tcPr>
          <w:p>
            <w:pPr>
              <w:spacing w:line="400" w:lineRule="exact"/>
              <w:jc w:val="center"/>
              <w:rPr>
                <w:rFonts w:ascii="仿宋" w:hAnsi="仿宋" w:eastAsia="仿宋"/>
                <w:sz w:val="24"/>
                <w:highlight w:val="none"/>
              </w:rPr>
            </w:pPr>
          </w:p>
        </w:tc>
        <w:tc>
          <w:tcPr>
            <w:tcW w:w="1417"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sz w:val="24"/>
                <w:highlight w:val="none"/>
              </w:rPr>
            </w:pPr>
            <w:r>
              <w:rPr>
                <w:rFonts w:hint="eastAsia" w:ascii="仿宋" w:hAnsi="仿宋" w:eastAsia="仿宋"/>
                <w:sz w:val="24"/>
                <w:highlight w:val="none"/>
              </w:rPr>
              <w:t>3</w:t>
            </w:r>
          </w:p>
        </w:tc>
        <w:tc>
          <w:tcPr>
            <w:tcW w:w="1587" w:type="dxa"/>
            <w:vAlign w:val="center"/>
          </w:tcPr>
          <w:p>
            <w:pPr>
              <w:jc w:val="center"/>
              <w:rPr>
                <w:rFonts w:ascii="等线" w:hAnsi="宋体" w:eastAsia="等线" w:cs="宋体"/>
                <w:color w:val="000000"/>
                <w:sz w:val="22"/>
                <w:szCs w:val="22"/>
                <w:highlight w:val="none"/>
              </w:rPr>
            </w:pPr>
            <w:r>
              <w:rPr>
                <w:rFonts w:hint="eastAsia" w:ascii="等线" w:eastAsia="等线"/>
                <w:color w:val="000000"/>
                <w:sz w:val="22"/>
                <w:szCs w:val="22"/>
                <w:highlight w:val="none"/>
              </w:rPr>
              <w:t>热镀锌槽钢转接件</w:t>
            </w:r>
          </w:p>
        </w:tc>
        <w:tc>
          <w:tcPr>
            <w:tcW w:w="1594" w:type="dxa"/>
            <w:vAlign w:val="center"/>
          </w:tcPr>
          <w:p>
            <w:pPr>
              <w:jc w:val="center"/>
              <w:rPr>
                <w:rFonts w:ascii="等线" w:hAnsi="宋体" w:eastAsia="等线" w:cs="宋体"/>
                <w:color w:val="000000"/>
                <w:sz w:val="22"/>
                <w:szCs w:val="22"/>
                <w:highlight w:val="none"/>
              </w:rPr>
            </w:pPr>
            <w:r>
              <w:rPr>
                <w:rFonts w:hint="eastAsia" w:ascii="等线" w:eastAsia="等线"/>
                <w:color w:val="000000"/>
                <w:sz w:val="22"/>
                <w:szCs w:val="22"/>
                <w:highlight w:val="none"/>
              </w:rPr>
              <w:t>10*320</w:t>
            </w:r>
          </w:p>
        </w:tc>
        <w:tc>
          <w:tcPr>
            <w:tcW w:w="849" w:type="dxa"/>
            <w:vAlign w:val="center"/>
          </w:tcPr>
          <w:p>
            <w:pPr>
              <w:jc w:val="center"/>
              <w:rPr>
                <w:rFonts w:ascii="等线" w:hAnsi="宋体" w:eastAsia="等线" w:cs="宋体"/>
                <w:color w:val="000000"/>
                <w:sz w:val="22"/>
                <w:szCs w:val="22"/>
                <w:highlight w:val="none"/>
              </w:rPr>
            </w:pPr>
            <w:r>
              <w:rPr>
                <w:rFonts w:hint="eastAsia" w:ascii="等线" w:eastAsia="等线"/>
                <w:color w:val="000000"/>
                <w:sz w:val="22"/>
                <w:szCs w:val="22"/>
                <w:highlight w:val="none"/>
              </w:rPr>
              <w:t>个</w:t>
            </w:r>
          </w:p>
        </w:tc>
        <w:tc>
          <w:tcPr>
            <w:tcW w:w="982" w:type="dxa"/>
            <w:vAlign w:val="center"/>
          </w:tcPr>
          <w:p>
            <w:pPr>
              <w:jc w:val="center"/>
              <w:rPr>
                <w:rFonts w:ascii="等线" w:hAnsi="宋体" w:eastAsia="等线" w:cs="宋体"/>
                <w:color w:val="000000"/>
                <w:sz w:val="22"/>
                <w:szCs w:val="22"/>
                <w:highlight w:val="none"/>
              </w:rPr>
            </w:pPr>
            <w:r>
              <w:rPr>
                <w:rFonts w:hint="eastAsia" w:ascii="等线" w:eastAsia="等线"/>
                <w:color w:val="000000"/>
                <w:sz w:val="22"/>
                <w:szCs w:val="22"/>
                <w:highlight w:val="none"/>
              </w:rPr>
              <w:t>1900</w:t>
            </w:r>
          </w:p>
        </w:tc>
        <w:tc>
          <w:tcPr>
            <w:tcW w:w="1488" w:type="dxa"/>
            <w:vAlign w:val="center"/>
          </w:tcPr>
          <w:p>
            <w:pPr>
              <w:spacing w:line="400" w:lineRule="exact"/>
              <w:jc w:val="center"/>
              <w:rPr>
                <w:rFonts w:ascii="仿宋" w:hAnsi="仿宋" w:eastAsia="仿宋"/>
                <w:sz w:val="24"/>
                <w:highlight w:val="none"/>
              </w:rPr>
            </w:pPr>
          </w:p>
        </w:tc>
        <w:tc>
          <w:tcPr>
            <w:tcW w:w="2333" w:type="dxa"/>
            <w:vAlign w:val="center"/>
          </w:tcPr>
          <w:p>
            <w:pPr>
              <w:spacing w:line="400" w:lineRule="exact"/>
              <w:jc w:val="center"/>
              <w:rPr>
                <w:rFonts w:ascii="仿宋" w:hAnsi="仿宋" w:eastAsia="仿宋"/>
                <w:sz w:val="24"/>
                <w:highlight w:val="none"/>
              </w:rPr>
            </w:pPr>
          </w:p>
        </w:tc>
        <w:tc>
          <w:tcPr>
            <w:tcW w:w="1417"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hint="eastAsia"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sz w:val="24"/>
                <w:highlight w:val="none"/>
              </w:rPr>
            </w:pPr>
            <w:r>
              <w:rPr>
                <w:rFonts w:hint="eastAsia" w:ascii="仿宋" w:hAnsi="仿宋" w:eastAsia="仿宋"/>
                <w:sz w:val="24"/>
                <w:highlight w:val="none"/>
              </w:rPr>
              <w:t>4</w:t>
            </w:r>
          </w:p>
        </w:tc>
        <w:tc>
          <w:tcPr>
            <w:tcW w:w="1587" w:type="dxa"/>
            <w:vAlign w:val="center"/>
          </w:tcPr>
          <w:p>
            <w:pPr>
              <w:jc w:val="center"/>
              <w:rPr>
                <w:rFonts w:ascii="等线" w:hAnsi="宋体" w:eastAsia="等线" w:cs="宋体"/>
                <w:color w:val="000000"/>
                <w:sz w:val="22"/>
                <w:szCs w:val="22"/>
                <w:highlight w:val="none"/>
              </w:rPr>
            </w:pPr>
            <w:r>
              <w:rPr>
                <w:rFonts w:hint="eastAsia" w:ascii="等线" w:eastAsia="等线"/>
                <w:color w:val="000000"/>
                <w:sz w:val="22"/>
                <w:szCs w:val="22"/>
                <w:highlight w:val="none"/>
              </w:rPr>
              <w:t>镀锌方垫片</w:t>
            </w:r>
          </w:p>
        </w:tc>
        <w:tc>
          <w:tcPr>
            <w:tcW w:w="1594" w:type="dxa"/>
            <w:vAlign w:val="center"/>
          </w:tcPr>
          <w:p>
            <w:pPr>
              <w:jc w:val="center"/>
              <w:rPr>
                <w:rFonts w:ascii="等线" w:hAnsi="宋体" w:eastAsia="等线" w:cs="宋体"/>
                <w:color w:val="000000"/>
                <w:sz w:val="22"/>
                <w:szCs w:val="22"/>
                <w:highlight w:val="none"/>
              </w:rPr>
            </w:pPr>
            <w:r>
              <w:rPr>
                <w:rFonts w:hint="eastAsia" w:ascii="等线" w:eastAsia="等线"/>
                <w:color w:val="000000"/>
                <w:sz w:val="22"/>
                <w:szCs w:val="22"/>
                <w:highlight w:val="none"/>
              </w:rPr>
              <w:t>25*25*3</w:t>
            </w:r>
          </w:p>
        </w:tc>
        <w:tc>
          <w:tcPr>
            <w:tcW w:w="849" w:type="dxa"/>
            <w:vAlign w:val="center"/>
          </w:tcPr>
          <w:p>
            <w:pPr>
              <w:jc w:val="center"/>
              <w:rPr>
                <w:rFonts w:ascii="等线" w:hAnsi="宋体" w:eastAsia="等线" w:cs="宋体"/>
                <w:color w:val="000000"/>
                <w:sz w:val="22"/>
                <w:szCs w:val="22"/>
                <w:highlight w:val="none"/>
              </w:rPr>
            </w:pPr>
            <w:r>
              <w:rPr>
                <w:rFonts w:hint="eastAsia" w:ascii="等线" w:eastAsia="等线"/>
                <w:color w:val="000000"/>
                <w:sz w:val="22"/>
                <w:szCs w:val="22"/>
                <w:highlight w:val="none"/>
              </w:rPr>
              <w:t>KG</w:t>
            </w:r>
          </w:p>
        </w:tc>
        <w:tc>
          <w:tcPr>
            <w:tcW w:w="982" w:type="dxa"/>
            <w:vAlign w:val="center"/>
          </w:tcPr>
          <w:p>
            <w:pPr>
              <w:jc w:val="center"/>
              <w:rPr>
                <w:rFonts w:ascii="等线" w:hAnsi="宋体" w:eastAsia="等线" w:cs="宋体"/>
                <w:color w:val="000000"/>
                <w:sz w:val="22"/>
                <w:szCs w:val="22"/>
                <w:highlight w:val="none"/>
              </w:rPr>
            </w:pPr>
            <w:r>
              <w:rPr>
                <w:rFonts w:hint="eastAsia" w:ascii="等线" w:eastAsia="等线"/>
                <w:color w:val="000000"/>
                <w:sz w:val="22"/>
                <w:szCs w:val="22"/>
                <w:highlight w:val="none"/>
              </w:rPr>
              <w:t>180</w:t>
            </w:r>
          </w:p>
        </w:tc>
        <w:tc>
          <w:tcPr>
            <w:tcW w:w="1488" w:type="dxa"/>
            <w:vAlign w:val="center"/>
          </w:tcPr>
          <w:p>
            <w:pPr>
              <w:spacing w:line="400" w:lineRule="exact"/>
              <w:jc w:val="center"/>
              <w:rPr>
                <w:rFonts w:ascii="仿宋" w:hAnsi="仿宋" w:eastAsia="仿宋"/>
                <w:sz w:val="24"/>
                <w:highlight w:val="none"/>
              </w:rPr>
            </w:pPr>
          </w:p>
        </w:tc>
        <w:tc>
          <w:tcPr>
            <w:tcW w:w="2333" w:type="dxa"/>
            <w:vAlign w:val="center"/>
          </w:tcPr>
          <w:p>
            <w:pPr>
              <w:spacing w:line="400" w:lineRule="exact"/>
              <w:jc w:val="center"/>
              <w:rPr>
                <w:rFonts w:ascii="仿宋" w:hAnsi="仿宋" w:eastAsia="仿宋"/>
                <w:sz w:val="24"/>
                <w:highlight w:val="none"/>
              </w:rPr>
            </w:pPr>
          </w:p>
        </w:tc>
        <w:tc>
          <w:tcPr>
            <w:tcW w:w="1417"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hint="eastAsia"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hint="eastAsia" w:ascii="仿宋" w:hAnsi="仿宋" w:eastAsia="仿宋"/>
                <w:sz w:val="24"/>
                <w:highlight w:val="none"/>
              </w:rPr>
            </w:pPr>
            <w:r>
              <w:rPr>
                <w:rFonts w:hint="eastAsia" w:ascii="仿宋" w:hAnsi="仿宋" w:eastAsia="仿宋"/>
                <w:sz w:val="24"/>
                <w:highlight w:val="none"/>
              </w:rPr>
              <w:t>5</w:t>
            </w:r>
          </w:p>
        </w:tc>
        <w:tc>
          <w:tcPr>
            <w:tcW w:w="1587" w:type="dxa"/>
            <w:vAlign w:val="center"/>
          </w:tcPr>
          <w:p>
            <w:pPr>
              <w:jc w:val="center"/>
              <w:rPr>
                <w:rFonts w:ascii="等线" w:hAnsi="宋体" w:eastAsia="等线" w:cs="宋体"/>
                <w:color w:val="000000"/>
                <w:sz w:val="22"/>
                <w:szCs w:val="22"/>
                <w:highlight w:val="none"/>
              </w:rPr>
            </w:pPr>
            <w:r>
              <w:rPr>
                <w:rFonts w:hint="eastAsia" w:ascii="等线" w:eastAsia="等线"/>
                <w:color w:val="000000"/>
                <w:sz w:val="22"/>
                <w:szCs w:val="22"/>
                <w:highlight w:val="none"/>
              </w:rPr>
              <w:t>304倒锥形化学螺栓</w:t>
            </w:r>
          </w:p>
        </w:tc>
        <w:tc>
          <w:tcPr>
            <w:tcW w:w="1594" w:type="dxa"/>
            <w:vAlign w:val="center"/>
          </w:tcPr>
          <w:p>
            <w:pPr>
              <w:jc w:val="center"/>
              <w:rPr>
                <w:rFonts w:ascii="等线" w:hAnsi="宋体" w:eastAsia="等线" w:cs="宋体"/>
                <w:color w:val="000000"/>
                <w:sz w:val="22"/>
                <w:szCs w:val="22"/>
                <w:highlight w:val="none"/>
              </w:rPr>
            </w:pPr>
            <w:r>
              <w:rPr>
                <w:rFonts w:hint="eastAsia" w:ascii="等线" w:eastAsia="等线"/>
                <w:color w:val="000000"/>
                <w:sz w:val="22"/>
                <w:szCs w:val="22"/>
                <w:highlight w:val="none"/>
              </w:rPr>
              <w:t>M12*160</w:t>
            </w:r>
          </w:p>
        </w:tc>
        <w:tc>
          <w:tcPr>
            <w:tcW w:w="849" w:type="dxa"/>
            <w:vAlign w:val="center"/>
          </w:tcPr>
          <w:p>
            <w:pPr>
              <w:jc w:val="center"/>
              <w:rPr>
                <w:rFonts w:ascii="等线" w:hAnsi="宋体" w:eastAsia="等线" w:cs="宋体"/>
                <w:color w:val="000000"/>
                <w:sz w:val="22"/>
                <w:szCs w:val="22"/>
                <w:highlight w:val="none"/>
              </w:rPr>
            </w:pPr>
            <w:r>
              <w:rPr>
                <w:rFonts w:hint="eastAsia" w:ascii="等线" w:eastAsia="等线"/>
                <w:color w:val="000000"/>
                <w:sz w:val="22"/>
                <w:szCs w:val="22"/>
                <w:highlight w:val="none"/>
              </w:rPr>
              <w:t>套</w:t>
            </w:r>
          </w:p>
        </w:tc>
        <w:tc>
          <w:tcPr>
            <w:tcW w:w="982" w:type="dxa"/>
            <w:vAlign w:val="center"/>
          </w:tcPr>
          <w:p>
            <w:pPr>
              <w:jc w:val="center"/>
              <w:rPr>
                <w:rFonts w:ascii="等线" w:hAnsi="宋体" w:eastAsia="等线" w:cs="宋体"/>
                <w:color w:val="000000"/>
                <w:sz w:val="22"/>
                <w:szCs w:val="22"/>
                <w:highlight w:val="none"/>
              </w:rPr>
            </w:pPr>
            <w:r>
              <w:rPr>
                <w:rFonts w:hint="eastAsia" w:ascii="等线" w:eastAsia="等线"/>
                <w:color w:val="000000"/>
                <w:sz w:val="22"/>
                <w:szCs w:val="22"/>
                <w:highlight w:val="none"/>
              </w:rPr>
              <w:t>4000</w:t>
            </w:r>
          </w:p>
        </w:tc>
        <w:tc>
          <w:tcPr>
            <w:tcW w:w="1488" w:type="dxa"/>
            <w:vAlign w:val="center"/>
          </w:tcPr>
          <w:p>
            <w:pPr>
              <w:spacing w:line="400" w:lineRule="exact"/>
              <w:jc w:val="center"/>
              <w:rPr>
                <w:rFonts w:ascii="仿宋" w:hAnsi="仿宋" w:eastAsia="仿宋"/>
                <w:sz w:val="24"/>
                <w:highlight w:val="none"/>
              </w:rPr>
            </w:pPr>
          </w:p>
        </w:tc>
        <w:tc>
          <w:tcPr>
            <w:tcW w:w="2333" w:type="dxa"/>
            <w:vAlign w:val="center"/>
          </w:tcPr>
          <w:p>
            <w:pPr>
              <w:spacing w:line="400" w:lineRule="exact"/>
              <w:jc w:val="center"/>
              <w:rPr>
                <w:rFonts w:ascii="仿宋" w:hAnsi="仿宋" w:eastAsia="仿宋"/>
                <w:sz w:val="24"/>
                <w:highlight w:val="none"/>
              </w:rPr>
            </w:pPr>
          </w:p>
        </w:tc>
        <w:tc>
          <w:tcPr>
            <w:tcW w:w="1417"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hint="eastAsia"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highlight w:val="none"/>
              </w:rPr>
            </w:pPr>
          </w:p>
        </w:tc>
        <w:tc>
          <w:tcPr>
            <w:tcW w:w="6500" w:type="dxa"/>
            <w:gridSpan w:val="5"/>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合计：</w:t>
            </w:r>
          </w:p>
        </w:tc>
        <w:tc>
          <w:tcPr>
            <w:tcW w:w="2333" w:type="dxa"/>
            <w:vAlign w:val="center"/>
          </w:tcPr>
          <w:p>
            <w:pPr>
              <w:spacing w:line="400" w:lineRule="exact"/>
              <w:jc w:val="center"/>
              <w:rPr>
                <w:rFonts w:ascii="仿宋" w:hAnsi="仿宋" w:eastAsia="仿宋"/>
                <w:sz w:val="24"/>
                <w:highlight w:val="none"/>
              </w:rPr>
            </w:pPr>
          </w:p>
        </w:tc>
        <w:tc>
          <w:tcPr>
            <w:tcW w:w="1417"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宋体" w:hAnsi="宋体" w:cs="宋体"/>
                <w:color w:val="000000"/>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5" w:hRule="atLeast"/>
        </w:trPr>
        <w:tc>
          <w:tcPr>
            <w:tcW w:w="15443" w:type="dxa"/>
            <w:gridSpan w:val="11"/>
            <w:vAlign w:val="center"/>
          </w:tcPr>
          <w:p>
            <w:pPr>
              <w:spacing w:line="400" w:lineRule="exact"/>
              <w:rPr>
                <w:rFonts w:ascii="仿宋" w:hAnsi="仿宋" w:eastAsia="仿宋"/>
                <w:sz w:val="24"/>
                <w:highlight w:val="none"/>
              </w:rPr>
            </w:pPr>
            <w:r>
              <w:rPr>
                <w:rFonts w:hint="eastAsia" w:ascii="仿宋" w:hAnsi="仿宋" w:eastAsia="仿宋"/>
                <w:sz w:val="24"/>
                <w:highlight w:val="none"/>
              </w:rPr>
              <w:t xml:space="preserve">说明：1、此报价表中带 </w:t>
            </w:r>
            <w:r>
              <w:rPr>
                <w:rFonts w:hint="eastAsia" w:ascii="仿宋" w:hAnsi="仿宋" w:eastAsia="仿宋"/>
                <w:color w:val="FF0000"/>
                <w:sz w:val="24"/>
                <w:highlight w:val="none"/>
              </w:rPr>
              <w:t>＊</w:t>
            </w:r>
            <w:r>
              <w:rPr>
                <w:rFonts w:hint="eastAsia" w:ascii="仿宋" w:hAnsi="仿宋" w:eastAsia="仿宋"/>
                <w:sz w:val="24"/>
                <w:highlight w:val="none"/>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highlight w:val="none"/>
              </w:rPr>
            </w:pPr>
            <w:r>
              <w:rPr>
                <w:rFonts w:hint="eastAsia" w:ascii="仿宋" w:hAnsi="仿宋" w:eastAsia="仿宋"/>
                <w:sz w:val="24"/>
                <w:highlight w:val="none"/>
              </w:rPr>
              <w:t>2、本次招标的数量为预估量，最终结算数量以双方确认的实际供货数量为准。</w:t>
            </w:r>
          </w:p>
          <w:p>
            <w:pPr>
              <w:spacing w:line="400" w:lineRule="exact"/>
              <w:ind w:firstLine="720" w:firstLineChars="300"/>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535" w:type="dxa"/>
            <w:gridSpan w:val="5"/>
            <w:vMerge w:val="restart"/>
            <w:vAlign w:val="center"/>
          </w:tcPr>
          <w:p>
            <w:pPr>
              <w:spacing w:line="400" w:lineRule="exact"/>
              <w:ind w:firstLine="240" w:firstLineChars="100"/>
              <w:rPr>
                <w:rFonts w:ascii="仿宋" w:hAnsi="仿宋" w:eastAsia="仿宋"/>
                <w:sz w:val="24"/>
                <w:highlight w:val="none"/>
              </w:rPr>
            </w:pPr>
            <w:r>
              <w:rPr>
                <w:rFonts w:hint="eastAsia" w:ascii="仿宋" w:hAnsi="仿宋" w:eastAsia="仿宋"/>
                <w:sz w:val="24"/>
                <w:highlight w:val="none"/>
              </w:rPr>
              <w:t>投标单位（公章）</w:t>
            </w:r>
          </w:p>
        </w:tc>
        <w:tc>
          <w:tcPr>
            <w:tcW w:w="3821" w:type="dxa"/>
            <w:gridSpan w:val="2"/>
            <w:vAlign w:val="center"/>
          </w:tcPr>
          <w:p>
            <w:pPr>
              <w:spacing w:line="400" w:lineRule="exact"/>
              <w:rPr>
                <w:rFonts w:ascii="仿宋" w:hAnsi="仿宋" w:eastAsia="仿宋"/>
                <w:sz w:val="24"/>
                <w:highlight w:val="none"/>
              </w:rPr>
            </w:pPr>
            <w:r>
              <w:rPr>
                <w:rFonts w:hint="eastAsia" w:ascii="仿宋" w:hAnsi="仿宋" w:eastAsia="仿宋"/>
                <w:sz w:val="24"/>
                <w:highlight w:val="none"/>
              </w:rPr>
              <w:t>法定代表人或授权委托人</w:t>
            </w:r>
          </w:p>
        </w:tc>
        <w:tc>
          <w:tcPr>
            <w:tcW w:w="6087" w:type="dxa"/>
            <w:gridSpan w:val="4"/>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535" w:type="dxa"/>
            <w:gridSpan w:val="5"/>
            <w:vMerge w:val="continue"/>
            <w:vAlign w:val="center"/>
          </w:tcPr>
          <w:p>
            <w:pPr>
              <w:spacing w:line="400" w:lineRule="exact"/>
              <w:rPr>
                <w:rFonts w:ascii="仿宋" w:hAnsi="仿宋" w:eastAsia="仿宋"/>
                <w:sz w:val="24"/>
                <w:highlight w:val="none"/>
              </w:rPr>
            </w:pPr>
          </w:p>
        </w:tc>
        <w:tc>
          <w:tcPr>
            <w:tcW w:w="3821" w:type="dxa"/>
            <w:gridSpan w:val="2"/>
            <w:vMerge w:val="restart"/>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联系方式</w:t>
            </w:r>
          </w:p>
        </w:tc>
        <w:tc>
          <w:tcPr>
            <w:tcW w:w="2472"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电话</w:t>
            </w:r>
          </w:p>
        </w:tc>
        <w:tc>
          <w:tcPr>
            <w:tcW w:w="3615" w:type="dxa"/>
            <w:gridSpan w:val="2"/>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535" w:type="dxa"/>
            <w:gridSpan w:val="5"/>
            <w:vMerge w:val="continue"/>
            <w:vAlign w:val="center"/>
          </w:tcPr>
          <w:p>
            <w:pPr>
              <w:spacing w:line="400" w:lineRule="exact"/>
              <w:rPr>
                <w:rFonts w:ascii="仿宋" w:hAnsi="仿宋" w:eastAsia="仿宋"/>
                <w:sz w:val="24"/>
                <w:highlight w:val="none"/>
              </w:rPr>
            </w:pPr>
          </w:p>
        </w:tc>
        <w:tc>
          <w:tcPr>
            <w:tcW w:w="3821" w:type="dxa"/>
            <w:gridSpan w:val="2"/>
            <w:vMerge w:val="continue"/>
            <w:vAlign w:val="center"/>
          </w:tcPr>
          <w:p>
            <w:pPr>
              <w:spacing w:line="400" w:lineRule="exact"/>
              <w:jc w:val="center"/>
              <w:rPr>
                <w:rFonts w:ascii="仿宋" w:hAnsi="仿宋" w:eastAsia="仿宋"/>
                <w:sz w:val="24"/>
                <w:highlight w:val="none"/>
              </w:rPr>
            </w:pPr>
          </w:p>
        </w:tc>
        <w:tc>
          <w:tcPr>
            <w:tcW w:w="2472"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邮箱</w:t>
            </w:r>
          </w:p>
        </w:tc>
        <w:tc>
          <w:tcPr>
            <w:tcW w:w="3615" w:type="dxa"/>
            <w:gridSpan w:val="2"/>
            <w:vAlign w:val="center"/>
          </w:tcPr>
          <w:p>
            <w:pPr>
              <w:spacing w:line="400" w:lineRule="exact"/>
              <w:rPr>
                <w:rFonts w:ascii="仿宋" w:hAnsi="仿宋" w:eastAsia="仿宋"/>
                <w:sz w:val="24"/>
                <w:highlight w:val="none"/>
              </w:rPr>
            </w:pPr>
          </w:p>
        </w:tc>
      </w:tr>
    </w:tbl>
    <w:p>
      <w:pPr>
        <w:spacing w:line="400" w:lineRule="exact"/>
        <w:rPr>
          <w:rFonts w:ascii="仿宋" w:hAnsi="仿宋" w:eastAsia="仿宋" w:cs="仿宋_GB2312"/>
          <w:b/>
          <w:sz w:val="36"/>
          <w:szCs w:val="36"/>
          <w:highlight w:val="none"/>
        </w:rPr>
      </w:pPr>
    </w:p>
    <w:p>
      <w:pPr>
        <w:spacing w:line="400" w:lineRule="exact"/>
        <w:rPr>
          <w:rFonts w:ascii="仿宋" w:hAnsi="仿宋" w:eastAsia="仿宋" w:cs="仿宋_GB2312"/>
          <w:b/>
          <w:sz w:val="28"/>
          <w:szCs w:val="28"/>
          <w:highlight w:val="none"/>
        </w:rPr>
      </w:pPr>
    </w:p>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w:pict>
        <v:shape id="文本框 2051" o:spid="_x0000_s2049"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path/>
          <v:fill on="f" focussize="0,0"/>
          <v:stroke on="f" joinstyle="miter"/>
          <v:imagedata o:title=""/>
          <o:lock v:ext="edit"/>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pict>
        <v:shape id="_x0000_i1025" o:spt="75" alt="tlys" type="#_x0000_t75" style="height:16.5pt;width:18pt;" filled="f" o:preferrelative="t" stroked="f" coordsize="21600,21600">
          <v:path/>
          <v:fill on="f" focussize="0,0"/>
          <v:stroke on="f" joinstyle="miter"/>
          <v:imagedata r:id="rId1" o:title="tlys"/>
          <o:lock v:ext="edit" aspectratio="t"/>
          <w10:wrap type="none"/>
          <w10:anchorlock/>
        </v:shape>
      </w:pict>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pict>
        <v:shape id="_x0000_i1026" o:spt="75" alt="tlys" type="#_x0000_t75" style="height:16.5pt;width:18pt;" filled="f" o:preferrelative="t" stroked="f" coordsize="21600,21600">
          <v:path/>
          <v:fill on="f" focussize="0,0"/>
          <v:stroke on="f" joinstyle="miter"/>
          <v:imagedata r:id="rId1" o:title="tlys"/>
          <o:lock v:ext="edit" aspectratio="t"/>
          <w10:wrap type="none"/>
          <w10:anchorlock/>
        </v:shape>
      </w:pict>
    </w:r>
    <w:r>
      <w:rPr>
        <w:rFonts w:hint="eastAsia"/>
        <w:sz w:val="18"/>
        <w:szCs w:val="18"/>
        <w:u w:val="single"/>
      </w:rPr>
      <w:t>铜陵有色金属集团铜冠建筑安装股份有限公司           　　　         物资竞价文件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81933"/>
    <w:rsid w:val="01A2719B"/>
    <w:rsid w:val="01AF2C21"/>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E735A"/>
    <w:rsid w:val="124C3C1F"/>
    <w:rsid w:val="12A820AD"/>
    <w:rsid w:val="13377E0F"/>
    <w:rsid w:val="13945E07"/>
    <w:rsid w:val="15737884"/>
    <w:rsid w:val="15750C31"/>
    <w:rsid w:val="16B948A5"/>
    <w:rsid w:val="17D86D23"/>
    <w:rsid w:val="17F4775E"/>
    <w:rsid w:val="18AF15FD"/>
    <w:rsid w:val="19E94006"/>
    <w:rsid w:val="1BBF797C"/>
    <w:rsid w:val="1DB63303"/>
    <w:rsid w:val="1DE26149"/>
    <w:rsid w:val="1DEE2CCA"/>
    <w:rsid w:val="1EB92EF2"/>
    <w:rsid w:val="1F17125C"/>
    <w:rsid w:val="1FAB30E7"/>
    <w:rsid w:val="2037683E"/>
    <w:rsid w:val="20637B7A"/>
    <w:rsid w:val="21115412"/>
    <w:rsid w:val="21A61884"/>
    <w:rsid w:val="221B22F9"/>
    <w:rsid w:val="221D09FC"/>
    <w:rsid w:val="22F91AE6"/>
    <w:rsid w:val="25590EC9"/>
    <w:rsid w:val="257F4BF0"/>
    <w:rsid w:val="25917440"/>
    <w:rsid w:val="25A13254"/>
    <w:rsid w:val="262F357C"/>
    <w:rsid w:val="2659211B"/>
    <w:rsid w:val="266C56F3"/>
    <w:rsid w:val="26A26CEB"/>
    <w:rsid w:val="27235E7D"/>
    <w:rsid w:val="276F4E38"/>
    <w:rsid w:val="2834446C"/>
    <w:rsid w:val="28B84042"/>
    <w:rsid w:val="299D4A4C"/>
    <w:rsid w:val="2A1902C2"/>
    <w:rsid w:val="2C6224E4"/>
    <w:rsid w:val="2C995D0F"/>
    <w:rsid w:val="2D3E7816"/>
    <w:rsid w:val="2DC36D5F"/>
    <w:rsid w:val="2F3E6548"/>
    <w:rsid w:val="2FF670DA"/>
    <w:rsid w:val="30481183"/>
    <w:rsid w:val="30D974B7"/>
    <w:rsid w:val="31E01407"/>
    <w:rsid w:val="325F16D7"/>
    <w:rsid w:val="32AD73EB"/>
    <w:rsid w:val="333663C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36471F"/>
    <w:rsid w:val="3C5B75D3"/>
    <w:rsid w:val="3C7823C8"/>
    <w:rsid w:val="3CA42746"/>
    <w:rsid w:val="3DCC4487"/>
    <w:rsid w:val="3E474521"/>
    <w:rsid w:val="3E583AD2"/>
    <w:rsid w:val="3FD0292A"/>
    <w:rsid w:val="3FF77603"/>
    <w:rsid w:val="413C763F"/>
    <w:rsid w:val="41B14926"/>
    <w:rsid w:val="41B46B47"/>
    <w:rsid w:val="41DA5117"/>
    <w:rsid w:val="424B79E0"/>
    <w:rsid w:val="42FA2D1F"/>
    <w:rsid w:val="434963F7"/>
    <w:rsid w:val="436B2C00"/>
    <w:rsid w:val="439F612A"/>
    <w:rsid w:val="441344E9"/>
    <w:rsid w:val="44842956"/>
    <w:rsid w:val="44B922E9"/>
    <w:rsid w:val="45086E27"/>
    <w:rsid w:val="465E02D2"/>
    <w:rsid w:val="48FC1957"/>
    <w:rsid w:val="499D4ACB"/>
    <w:rsid w:val="4BC1413C"/>
    <w:rsid w:val="4C656785"/>
    <w:rsid w:val="4DFA18E0"/>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60921071"/>
    <w:rsid w:val="60F035C2"/>
    <w:rsid w:val="623446C7"/>
    <w:rsid w:val="633441F6"/>
    <w:rsid w:val="6352429E"/>
    <w:rsid w:val="63A94A71"/>
    <w:rsid w:val="63E45615"/>
    <w:rsid w:val="645A1DAF"/>
    <w:rsid w:val="64940258"/>
    <w:rsid w:val="64940A1E"/>
    <w:rsid w:val="69021DF3"/>
    <w:rsid w:val="69AD4D95"/>
    <w:rsid w:val="6A1720C7"/>
    <w:rsid w:val="6A315ABB"/>
    <w:rsid w:val="6A43654D"/>
    <w:rsid w:val="6A87598F"/>
    <w:rsid w:val="6E1970B9"/>
    <w:rsid w:val="6F763902"/>
    <w:rsid w:val="6FE30FB3"/>
    <w:rsid w:val="703849D5"/>
    <w:rsid w:val="711712EF"/>
    <w:rsid w:val="7180640A"/>
    <w:rsid w:val="71896340"/>
    <w:rsid w:val="71A978B5"/>
    <w:rsid w:val="71F35AC2"/>
    <w:rsid w:val="72B81640"/>
    <w:rsid w:val="72DA2E30"/>
    <w:rsid w:val="74B57A97"/>
    <w:rsid w:val="7574564B"/>
    <w:rsid w:val="77A946B8"/>
    <w:rsid w:val="77B14F43"/>
    <w:rsid w:val="792A1CCE"/>
    <w:rsid w:val="793439F5"/>
    <w:rsid w:val="796E3D99"/>
    <w:rsid w:val="7B8D7C88"/>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2"/>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8"/>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24"/>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样式3"/>
    <w:basedOn w:val="4"/>
    <w:qFormat/>
    <w:uiPriority w:val="0"/>
    <w:rPr>
      <w:rFonts w:eastAsia="Arial"/>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标题4"/>
    <w:basedOn w:val="3"/>
    <w:next w:val="23"/>
    <w:link w:val="135"/>
    <w:qFormat/>
    <w:uiPriority w:val="0"/>
    <w:pPr>
      <w:spacing w:line="413" w:lineRule="auto"/>
    </w:pPr>
    <w:rPr>
      <w:rFonts w:eastAsia="宋体"/>
      <w:kern w:val="0"/>
      <w:sz w:val="24"/>
    </w:rPr>
  </w:style>
  <w:style w:type="paragraph" w:customStyle="1" w:styleId="59">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qFormat/>
    <w:uiPriority w:val="0"/>
    <w:pPr>
      <w:tabs>
        <w:tab w:val="left" w:pos="1360"/>
      </w:tabs>
      <w:ind w:left="1360" w:hanging="720"/>
    </w:pPr>
    <w:rPr>
      <w:szCs w:val="20"/>
    </w:rPr>
  </w:style>
  <w:style w:type="paragraph" w:customStyle="1" w:styleId="61">
    <w:name w:val="XW编号正文"/>
    <w:basedOn w:val="62"/>
    <w:qFormat/>
    <w:uiPriority w:val="0"/>
    <w:pPr>
      <w:numPr>
        <w:ilvl w:val="0"/>
        <w:numId w:val="1"/>
      </w:numPr>
      <w:tabs>
        <w:tab w:val="left" w:pos="1035"/>
        <w:tab w:val="left" w:pos="1134"/>
      </w:tabs>
      <w:ind w:left="1035" w:hanging="720"/>
      <w:jc w:val="left"/>
    </w:pPr>
  </w:style>
  <w:style w:type="paragraph" w:customStyle="1" w:styleId="62">
    <w:name w:val="XW正文"/>
    <w:basedOn w:val="21"/>
    <w:qFormat/>
    <w:uiPriority w:val="0"/>
    <w:pPr>
      <w:adjustRightInd w:val="0"/>
      <w:spacing w:line="300" w:lineRule="auto"/>
      <w:ind w:left="0" w:leftChars="0" w:firstLine="454"/>
      <w:textAlignment w:val="baseline"/>
    </w:pPr>
    <w:rPr>
      <w:szCs w:val="20"/>
    </w:rPr>
  </w:style>
  <w:style w:type="paragraph" w:customStyle="1" w:styleId="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6"/>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qFormat/>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5">
    <w:name w:val="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Char Char18"/>
    <w:qFormat/>
    <w:uiPriority w:val="0"/>
    <w:rPr>
      <w:b/>
      <w:bCs/>
      <w:kern w:val="44"/>
      <w:sz w:val="44"/>
      <w:szCs w:val="44"/>
    </w:rPr>
  </w:style>
  <w:style w:type="character" w:customStyle="1" w:styleId="112">
    <w:name w:val="批注文字 Char"/>
    <w:link w:val="12"/>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Char Char"/>
    <w:qFormat/>
    <w:uiPriority w:val="0"/>
    <w:rPr>
      <w:rFonts w:ascii="Arial" w:hAnsi="Arial" w:eastAsia="黑体"/>
      <w:b/>
      <w:bCs/>
      <w:kern w:val="2"/>
      <w:sz w:val="32"/>
      <w:szCs w:val="32"/>
      <w:lang w:val="en-US" w:eastAsia="zh-CN" w:bidi="ar-SA"/>
    </w:rPr>
  </w:style>
  <w:style w:type="character" w:customStyle="1" w:styleId="117">
    <w:name w:val="Char Char9"/>
    <w:qFormat/>
    <w:uiPriority w:val="0"/>
    <w:rPr>
      <w:kern w:val="2"/>
      <w:sz w:val="21"/>
      <w:szCs w:val="22"/>
    </w:rPr>
  </w:style>
  <w:style w:type="character" w:customStyle="1" w:styleId="118">
    <w:name w:val="文档结构图 Char"/>
    <w:link w:val="17"/>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9"/>
    <w:qFormat/>
    <w:uiPriority w:val="0"/>
    <w:rPr>
      <w:rFonts w:eastAsia="宋体"/>
      <w:kern w:val="2"/>
      <w:sz w:val="21"/>
      <w:szCs w:val="24"/>
      <w:lang w:val="en-US" w:eastAsia="zh-CN" w:bidi="ar-SA"/>
    </w:rPr>
  </w:style>
  <w:style w:type="character" w:customStyle="1" w:styleId="125">
    <w:name w:val="标题 5 Char"/>
    <w:link w:val="6"/>
    <w:qFormat/>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4"/>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6"/>
    <w:qFormat/>
    <w:uiPriority w:val="0"/>
    <w:rPr>
      <w:rFonts w:ascii="Courier New" w:hAnsi="Courier New" w:eastAsia="宋体"/>
      <w:kern w:val="2"/>
      <w:sz w:val="21"/>
      <w:lang w:val="en-US" w:eastAsia="zh-CN" w:bidi="ar-SA"/>
    </w:rPr>
  </w:style>
  <w:style w:type="character" w:customStyle="1" w:styleId="132">
    <w:name w:val="页眉 Char"/>
    <w:link w:val="32"/>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标题 4 Char1"/>
    <w:link w:val="5"/>
    <w:qFormat/>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11</Pages>
  <Words>732</Words>
  <Characters>4174</Characters>
  <Lines>34</Lines>
  <Paragraphs>9</Paragraphs>
  <TotalTime>228</TotalTime>
  <ScaleCrop>false</ScaleCrop>
  <LinksUpToDate>false</LinksUpToDate>
  <CharactersWithSpaces>4897</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2024-01-17T06:58:00Z</cp:lastPrinted>
  <dcterms:modified xsi:type="dcterms:W3CDTF">2024-01-19T07:11:44Z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