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rPr>
        <w:t>铜陵铜冠建安第二事业部</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rPr>
        <w:t>书香苑项目铝合金百叶窗</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TGJA-WZ-202413</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bookmarkStart w:id="0" w:name="_GoBack"/>
      <w:bookmarkEnd w:id="0"/>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一、招标日程安排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2024年1月25日9:00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2024年1月25日9:00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本次招标的具体内容如下：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本次招标数量是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2、投标人须为一般纳税人,开具13%增值税专用发票。</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2024年1月24日12:00止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rPr>
        <w:t>伍仟</w:t>
      </w:r>
      <w:r>
        <w:rPr>
          <w:rFonts w:hint="eastAsia" w:ascii="仿宋" w:hAnsi="仿宋" w:eastAsia="仿宋" w:cs="仿宋_GB2312"/>
          <w:b/>
          <w:bCs/>
          <w:color w:val="000000"/>
          <w:sz w:val="24"/>
          <w:highlight w:val="none"/>
          <w:u w:val="single"/>
        </w:rPr>
        <w:t>元整</w:t>
      </w:r>
      <w:r>
        <w:rPr>
          <w:rFonts w:hint="eastAsia" w:ascii="仿宋" w:hAnsi="仿宋" w:eastAsia="仿宋" w:cs="仿宋_GB2312"/>
          <w:color w:val="000000"/>
          <w:sz w:val="24"/>
          <w:highlight w:val="none"/>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铜陵铜冠建安第二事业部书香苑项目TGJA-WZ-202413投标保证金。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2024年1月25日9:00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ascii="仿宋" w:hAnsi="仿宋" w:eastAsia="仿宋" w:cs="仿宋"/>
          <w:sz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材料质量要求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highlight w:val="none"/>
        </w:rPr>
        <w:t>应符合国家最新质量标准和招标文件要求。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（2）投标人如若中标，提供的材料必须符合技术指标要求。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材料送至铜冠建安公司池州书香苑施工现场。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（1）本次招标价为含税含运费一票制价格。</w:t>
      </w:r>
    </w:p>
    <w:p>
      <w:pPr>
        <w:spacing w:line="360" w:lineRule="auto"/>
        <w:ind w:left="560"/>
        <w:rPr>
          <w:rFonts w:ascii="仿宋" w:hAnsi="仿宋" w:eastAsia="仿宋" w:cs="仿宋_GB2312"/>
          <w:sz w:val="24"/>
          <w:highlight w:val="none"/>
        </w:rPr>
      </w:pPr>
      <w:r>
        <w:rPr>
          <w:rFonts w:hint="eastAsia" w:ascii="仿宋" w:hAnsi="仿宋" w:eastAsia="仿宋" w:cs="仿宋_GB2312"/>
          <w:sz w:val="24"/>
          <w:highlight w:val="none"/>
        </w:rPr>
        <w:t>（2）一经中标，合同期内价格不予调整。</w:t>
      </w:r>
    </w:p>
    <w:p>
      <w:pPr>
        <w:spacing w:line="360" w:lineRule="auto"/>
        <w:ind w:left="560"/>
        <w:rPr>
          <w:rFonts w:ascii="仿宋" w:hAnsi="仿宋" w:eastAsia="仿宋" w:cs="仿宋_GB2312"/>
          <w:sz w:val="24"/>
          <w:highlight w:val="none"/>
        </w:rPr>
      </w:pPr>
      <w:r>
        <w:rPr>
          <w:rFonts w:hint="eastAsia" w:ascii="仿宋" w:hAnsi="仿宋" w:eastAsia="仿宋" w:cs="仿宋_GB2312"/>
          <w:sz w:val="24"/>
          <w:highlight w:val="none"/>
        </w:rPr>
        <w:t>（3）本次竞价总价设最高限价（含13%税价），最高限价380000元，超过最高限价的报价（含本数）将做为废标处理。</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ascii="仿宋" w:hAnsi="仿宋" w:eastAsia="仿宋" w:cs="仿宋_GB2312"/>
          <w:spacing w:val="-17"/>
          <w:sz w:val="24"/>
          <w:highlight w:val="none"/>
        </w:rPr>
      </w:pPr>
      <w:r>
        <w:rPr>
          <w:rFonts w:hint="eastAsia" w:ascii="仿宋" w:hAnsi="仿宋" w:eastAsia="仿宋" w:cs="仿宋_GB2312"/>
          <w:sz w:val="24"/>
          <w:highlight w:val="none"/>
          <w:u w:val="single"/>
        </w:rPr>
        <w:t>各投标单位报价须谨慎，一旦中标不得以任何理由变更报价</w:t>
      </w:r>
      <w:r>
        <w:rPr>
          <w:rFonts w:hint="eastAsia" w:ascii="仿宋" w:hAnsi="仿宋" w:eastAsia="仿宋" w:cs="仿宋_GB2312"/>
          <w:spacing w:val="-17"/>
          <w:sz w:val="24"/>
          <w:highlight w:val="none"/>
          <w:u w:val="singl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8、付款方式</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color w:val="000000" w:themeColor="text1"/>
          <w:sz w:val="24"/>
          <w:highlight w:val="none"/>
          <w:u w:val="single"/>
        </w:rPr>
        <w:t>合同签订后，</w:t>
      </w:r>
      <w:r>
        <w:rPr>
          <w:rFonts w:hint="eastAsia" w:ascii="仿宋" w:hAnsi="仿宋" w:eastAsia="仿宋" w:cs="仿宋"/>
          <w:color w:val="000000" w:themeColor="text1"/>
          <w:sz w:val="24"/>
          <w:highlight w:val="none"/>
          <w:u w:val="single"/>
        </w:rPr>
        <w:t>货到验收合格后开具发票，入账次月支付40%，春节前支付至80%，剩余20%该春节后两年内付清。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highlight w:val="none"/>
        </w:rPr>
        <w:t>本次招标设置控制价，具体见第八章第4条。</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报价单（TGJA-WZ-202413）：</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87"/>
        <w:gridCol w:w="1594"/>
        <w:gridCol w:w="849"/>
        <w:gridCol w:w="982"/>
        <w:gridCol w:w="1488"/>
        <w:gridCol w:w="2333"/>
        <w:gridCol w:w="1417"/>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序号</w:t>
            </w:r>
          </w:p>
        </w:tc>
        <w:tc>
          <w:tcPr>
            <w:tcW w:w="1587"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物料名称</w:t>
            </w:r>
          </w:p>
        </w:tc>
        <w:tc>
          <w:tcPr>
            <w:tcW w:w="1594"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型号规格</w:t>
            </w:r>
          </w:p>
        </w:tc>
        <w:tc>
          <w:tcPr>
            <w:tcW w:w="849"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单位</w:t>
            </w:r>
          </w:p>
        </w:tc>
        <w:tc>
          <w:tcPr>
            <w:tcW w:w="982"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数量</w:t>
            </w:r>
          </w:p>
        </w:tc>
        <w:tc>
          <w:tcPr>
            <w:tcW w:w="1488"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含税含运费单价</w:t>
            </w:r>
            <w:r>
              <w:rPr>
                <w:rFonts w:hint="eastAsia" w:ascii="仿宋" w:hAnsi="仿宋" w:eastAsia="仿宋"/>
                <w:color w:val="FF0000"/>
                <w:sz w:val="24"/>
                <w:highlight w:val="none"/>
              </w:rPr>
              <w:t>*</w:t>
            </w:r>
          </w:p>
        </w:tc>
        <w:tc>
          <w:tcPr>
            <w:tcW w:w="2333" w:type="dxa"/>
            <w:vAlign w:val="center"/>
          </w:tcPr>
          <w:p>
            <w:pPr>
              <w:spacing w:line="400" w:lineRule="exact"/>
              <w:jc w:val="center"/>
              <w:rPr>
                <w:rFonts w:ascii="仿宋" w:hAnsi="仿宋" w:eastAsia="仿宋"/>
                <w:sz w:val="24"/>
                <w:highlight w:val="none"/>
              </w:rPr>
            </w:pPr>
            <w:r>
              <w:rPr>
                <w:rFonts w:ascii="仿宋" w:hAnsi="仿宋" w:eastAsia="仿宋"/>
                <w:sz w:val="24"/>
                <w:highlight w:val="none"/>
              </w:rPr>
              <w:t>含税</w:t>
            </w:r>
            <w:r>
              <w:rPr>
                <w:rFonts w:hint="eastAsia" w:ascii="仿宋" w:hAnsi="仿宋" w:eastAsia="仿宋"/>
                <w:sz w:val="24"/>
                <w:highlight w:val="none"/>
              </w:rPr>
              <w:t>含运费</w:t>
            </w:r>
          </w:p>
          <w:p>
            <w:pPr>
              <w:spacing w:line="400" w:lineRule="exact"/>
              <w:jc w:val="center"/>
              <w:rPr>
                <w:rFonts w:ascii="仿宋" w:hAnsi="仿宋" w:eastAsia="仿宋"/>
                <w:sz w:val="24"/>
                <w:highlight w:val="none"/>
              </w:rPr>
            </w:pPr>
            <w:r>
              <w:rPr>
                <w:rFonts w:ascii="仿宋" w:hAnsi="仿宋" w:eastAsia="仿宋"/>
                <w:sz w:val="24"/>
                <w:highlight w:val="none"/>
              </w:rPr>
              <w:t>金额</w:t>
            </w:r>
            <w:r>
              <w:rPr>
                <w:rFonts w:hint="eastAsia" w:ascii="仿宋" w:hAnsi="仿宋" w:eastAsia="仿宋"/>
                <w:color w:val="FF0000"/>
                <w:sz w:val="24"/>
                <w:highlight w:val="none"/>
              </w:rPr>
              <w:t>*</w:t>
            </w:r>
          </w:p>
        </w:tc>
        <w:tc>
          <w:tcPr>
            <w:tcW w:w="1417"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税率</w:t>
            </w:r>
            <w:r>
              <w:rPr>
                <w:rFonts w:hint="eastAsia" w:ascii="仿宋" w:hAnsi="仿宋" w:eastAsia="仿宋"/>
                <w:color w:val="FF0000"/>
                <w:sz w:val="24"/>
                <w:highlight w:val="none"/>
              </w:rPr>
              <w:t>*</w:t>
            </w:r>
          </w:p>
        </w:tc>
        <w:tc>
          <w:tcPr>
            <w:tcW w:w="2356"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是否为增值税专用发票</w:t>
            </w:r>
            <w:r>
              <w:rPr>
                <w:rFonts w:hint="eastAsia" w:ascii="仿宋" w:hAnsi="仿宋" w:eastAsia="仿宋"/>
                <w:color w:val="FF0000"/>
                <w:sz w:val="24"/>
                <w:highlight w:val="none"/>
              </w:rPr>
              <w:t>*</w:t>
            </w:r>
          </w:p>
        </w:tc>
        <w:tc>
          <w:tcPr>
            <w:tcW w:w="2314"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1</w:t>
            </w:r>
          </w:p>
        </w:tc>
        <w:tc>
          <w:tcPr>
            <w:tcW w:w="1587" w:type="dxa"/>
            <w:vAlign w:val="center"/>
          </w:tcPr>
          <w:p>
            <w:pPr>
              <w:jc w:val="center"/>
              <w:rPr>
                <w:rFonts w:ascii="宋体" w:hAnsi="宋体" w:cs="宋体"/>
                <w:color w:val="000000"/>
                <w:sz w:val="22"/>
                <w:szCs w:val="22"/>
                <w:highlight w:val="none"/>
              </w:rPr>
            </w:pPr>
            <w:r>
              <w:rPr>
                <w:rFonts w:hint="eastAsia"/>
                <w:color w:val="000000"/>
                <w:sz w:val="22"/>
                <w:szCs w:val="22"/>
                <w:highlight w:val="none"/>
              </w:rPr>
              <w:t>铝合金百叶窗</w:t>
            </w:r>
          </w:p>
        </w:tc>
        <w:tc>
          <w:tcPr>
            <w:tcW w:w="1594" w:type="dxa"/>
            <w:vAlign w:val="center"/>
          </w:tcPr>
          <w:p>
            <w:pPr>
              <w:jc w:val="center"/>
              <w:rPr>
                <w:rFonts w:ascii="宋体" w:hAnsi="宋体" w:cs="宋体"/>
                <w:color w:val="000000"/>
                <w:sz w:val="22"/>
                <w:szCs w:val="22"/>
                <w:highlight w:val="none"/>
              </w:rPr>
            </w:pPr>
            <w:r>
              <w:rPr>
                <w:rFonts w:hint="eastAsia" w:ascii="宋体" w:hAnsi="宋体" w:cs="宋体"/>
                <w:color w:val="000000"/>
                <w:sz w:val="22"/>
                <w:szCs w:val="22"/>
                <w:highlight w:val="none"/>
              </w:rPr>
              <w:t>2.2*0.9m</w:t>
            </w:r>
          </w:p>
        </w:tc>
        <w:tc>
          <w:tcPr>
            <w:tcW w:w="849" w:type="dxa"/>
            <w:vAlign w:val="center"/>
          </w:tcPr>
          <w:p>
            <w:pPr>
              <w:jc w:val="center"/>
              <w:rPr>
                <w:rFonts w:ascii="宋体" w:hAnsi="宋体" w:cs="宋体"/>
                <w:color w:val="000000"/>
                <w:sz w:val="22"/>
                <w:szCs w:val="22"/>
                <w:highlight w:val="none"/>
              </w:rPr>
            </w:pPr>
            <w:r>
              <w:rPr>
                <w:rFonts w:hint="eastAsia"/>
                <w:color w:val="000000"/>
                <w:sz w:val="22"/>
                <w:szCs w:val="22"/>
                <w:highlight w:val="none"/>
              </w:rPr>
              <w:t>㎡</w:t>
            </w:r>
          </w:p>
        </w:tc>
        <w:tc>
          <w:tcPr>
            <w:tcW w:w="982" w:type="dxa"/>
            <w:vAlign w:val="center"/>
          </w:tcPr>
          <w:p>
            <w:pPr>
              <w:jc w:val="center"/>
              <w:rPr>
                <w:rFonts w:ascii="宋体" w:hAnsi="宋体" w:cs="宋体"/>
                <w:color w:val="000000"/>
                <w:sz w:val="22"/>
                <w:szCs w:val="22"/>
                <w:highlight w:val="none"/>
              </w:rPr>
            </w:pPr>
            <w:r>
              <w:rPr>
                <w:rFonts w:hint="eastAsia"/>
                <w:color w:val="000000"/>
                <w:sz w:val="22"/>
                <w:szCs w:val="22"/>
                <w:highlight w:val="none"/>
              </w:rPr>
              <w:t>800</w:t>
            </w:r>
          </w:p>
        </w:tc>
        <w:tc>
          <w:tcPr>
            <w:tcW w:w="1488" w:type="dxa"/>
            <w:vAlign w:val="center"/>
          </w:tcPr>
          <w:p>
            <w:pPr>
              <w:spacing w:line="400" w:lineRule="exact"/>
              <w:jc w:val="center"/>
              <w:rPr>
                <w:rFonts w:ascii="仿宋" w:hAnsi="仿宋" w:eastAsia="仿宋"/>
                <w:sz w:val="24"/>
                <w:highlight w:val="none"/>
              </w:rPr>
            </w:pPr>
          </w:p>
        </w:tc>
        <w:tc>
          <w:tcPr>
            <w:tcW w:w="2333" w:type="dxa"/>
            <w:vAlign w:val="center"/>
          </w:tcPr>
          <w:p>
            <w:pPr>
              <w:spacing w:line="400" w:lineRule="exact"/>
              <w:jc w:val="center"/>
              <w:rPr>
                <w:rFonts w:ascii="仿宋" w:hAnsi="仿宋" w:eastAsia="仿宋"/>
                <w:sz w:val="24"/>
                <w:highlight w:val="none"/>
              </w:rPr>
            </w:pPr>
          </w:p>
        </w:tc>
        <w:tc>
          <w:tcPr>
            <w:tcW w:w="1417"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r>
              <w:rPr>
                <w:rFonts w:hint="eastAsia" w:ascii="仿宋" w:hAnsi="仿宋" w:eastAsia="仿宋"/>
                <w:sz w:val="24"/>
                <w:highlight w:val="none"/>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2</w:t>
            </w:r>
          </w:p>
        </w:tc>
        <w:tc>
          <w:tcPr>
            <w:tcW w:w="1587" w:type="dxa"/>
            <w:vAlign w:val="center"/>
          </w:tcPr>
          <w:p>
            <w:pPr>
              <w:jc w:val="center"/>
              <w:rPr>
                <w:color w:val="000000"/>
                <w:sz w:val="22"/>
                <w:szCs w:val="22"/>
                <w:highlight w:val="none"/>
              </w:rPr>
            </w:pPr>
            <w:r>
              <w:rPr>
                <w:rFonts w:hint="eastAsia"/>
                <w:color w:val="000000"/>
                <w:sz w:val="22"/>
                <w:szCs w:val="22"/>
                <w:highlight w:val="none"/>
              </w:rPr>
              <w:t>铝合金百叶窗</w:t>
            </w:r>
          </w:p>
        </w:tc>
        <w:tc>
          <w:tcPr>
            <w:tcW w:w="1594" w:type="dxa"/>
            <w:vAlign w:val="center"/>
          </w:tcPr>
          <w:p>
            <w:pPr>
              <w:jc w:val="center"/>
              <w:rPr>
                <w:color w:val="000000"/>
                <w:sz w:val="22"/>
                <w:szCs w:val="22"/>
                <w:highlight w:val="none"/>
              </w:rPr>
            </w:pPr>
            <w:r>
              <w:rPr>
                <w:rFonts w:hint="eastAsia" w:ascii="宋体" w:hAnsi="宋体" w:cs="宋体"/>
                <w:color w:val="000000"/>
                <w:sz w:val="22"/>
                <w:szCs w:val="22"/>
                <w:highlight w:val="none"/>
              </w:rPr>
              <w:t>1*1.8m</w:t>
            </w:r>
          </w:p>
        </w:tc>
        <w:tc>
          <w:tcPr>
            <w:tcW w:w="849" w:type="dxa"/>
            <w:vAlign w:val="center"/>
          </w:tcPr>
          <w:p>
            <w:pPr>
              <w:jc w:val="center"/>
              <w:rPr>
                <w:color w:val="000000"/>
                <w:sz w:val="22"/>
                <w:szCs w:val="22"/>
                <w:highlight w:val="none"/>
              </w:rPr>
            </w:pPr>
            <w:r>
              <w:rPr>
                <w:rFonts w:hint="eastAsia"/>
                <w:color w:val="000000"/>
                <w:sz w:val="22"/>
                <w:szCs w:val="22"/>
                <w:highlight w:val="none"/>
              </w:rPr>
              <w:t>㎡</w:t>
            </w:r>
          </w:p>
        </w:tc>
        <w:tc>
          <w:tcPr>
            <w:tcW w:w="982" w:type="dxa"/>
            <w:vAlign w:val="center"/>
          </w:tcPr>
          <w:p>
            <w:pPr>
              <w:jc w:val="center"/>
              <w:rPr>
                <w:color w:val="000000"/>
                <w:sz w:val="22"/>
                <w:szCs w:val="22"/>
                <w:highlight w:val="none"/>
              </w:rPr>
            </w:pPr>
            <w:r>
              <w:rPr>
                <w:rFonts w:hint="eastAsia"/>
                <w:color w:val="000000"/>
                <w:sz w:val="22"/>
                <w:szCs w:val="22"/>
                <w:highlight w:val="none"/>
              </w:rPr>
              <w:t>700</w:t>
            </w:r>
          </w:p>
        </w:tc>
        <w:tc>
          <w:tcPr>
            <w:tcW w:w="1488" w:type="dxa"/>
            <w:vAlign w:val="center"/>
          </w:tcPr>
          <w:p>
            <w:pPr>
              <w:spacing w:line="400" w:lineRule="exact"/>
              <w:jc w:val="center"/>
              <w:rPr>
                <w:rFonts w:ascii="仿宋" w:hAnsi="仿宋" w:eastAsia="仿宋"/>
                <w:sz w:val="24"/>
                <w:highlight w:val="none"/>
              </w:rPr>
            </w:pPr>
          </w:p>
        </w:tc>
        <w:tc>
          <w:tcPr>
            <w:tcW w:w="2333" w:type="dxa"/>
            <w:vAlign w:val="center"/>
          </w:tcPr>
          <w:p>
            <w:pPr>
              <w:spacing w:line="400" w:lineRule="exact"/>
              <w:jc w:val="center"/>
              <w:rPr>
                <w:rFonts w:ascii="仿宋" w:hAnsi="仿宋" w:eastAsia="仿宋"/>
                <w:sz w:val="24"/>
                <w:highlight w:val="none"/>
              </w:rPr>
            </w:pPr>
          </w:p>
        </w:tc>
        <w:tc>
          <w:tcPr>
            <w:tcW w:w="1417"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r>
              <w:rPr>
                <w:rFonts w:hint="eastAsia" w:ascii="仿宋" w:hAnsi="仿宋" w:eastAsia="仿宋"/>
                <w:sz w:val="24"/>
                <w:highlight w:val="none"/>
              </w:rPr>
              <w:t>含安装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highlight w:val="none"/>
              </w:rPr>
            </w:pPr>
          </w:p>
        </w:tc>
        <w:tc>
          <w:tcPr>
            <w:tcW w:w="6500" w:type="dxa"/>
            <w:gridSpan w:val="5"/>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合计：</w:t>
            </w:r>
          </w:p>
        </w:tc>
        <w:tc>
          <w:tcPr>
            <w:tcW w:w="2333" w:type="dxa"/>
            <w:vAlign w:val="center"/>
          </w:tcPr>
          <w:p>
            <w:pPr>
              <w:spacing w:line="400" w:lineRule="exact"/>
              <w:jc w:val="center"/>
              <w:rPr>
                <w:rFonts w:ascii="仿宋" w:hAnsi="仿宋" w:eastAsia="仿宋"/>
                <w:sz w:val="24"/>
                <w:highlight w:val="none"/>
              </w:rPr>
            </w:pPr>
          </w:p>
        </w:tc>
        <w:tc>
          <w:tcPr>
            <w:tcW w:w="1417"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宋体" w:hAnsi="宋体" w:cs="宋体"/>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15443" w:type="dxa"/>
            <w:gridSpan w:val="11"/>
            <w:vAlign w:val="center"/>
          </w:tcPr>
          <w:p>
            <w:pPr>
              <w:spacing w:line="400" w:lineRule="exact"/>
              <w:rPr>
                <w:rFonts w:ascii="仿宋" w:hAnsi="仿宋" w:eastAsia="仿宋"/>
                <w:sz w:val="24"/>
                <w:highlight w:val="none"/>
              </w:rPr>
            </w:pPr>
            <w:r>
              <w:rPr>
                <w:rFonts w:hint="eastAsia" w:ascii="仿宋" w:hAnsi="仿宋" w:eastAsia="仿宋"/>
                <w:sz w:val="24"/>
                <w:highlight w:val="none"/>
              </w:rPr>
              <w:t xml:space="preserve">说明：1、此报价表中带 </w:t>
            </w:r>
            <w:r>
              <w:rPr>
                <w:rFonts w:hint="eastAsia" w:ascii="仿宋" w:hAnsi="仿宋" w:eastAsia="仿宋"/>
                <w:color w:val="FF0000"/>
                <w:sz w:val="24"/>
                <w:highlight w:val="none"/>
              </w:rPr>
              <w:t>＊</w:t>
            </w:r>
            <w:r>
              <w:rPr>
                <w:rFonts w:hint="eastAsia" w:ascii="仿宋" w:hAnsi="仿宋" w:eastAsia="仿宋"/>
                <w:sz w:val="24"/>
                <w:highlight w:val="none"/>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highlight w:val="none"/>
              </w:rPr>
            </w:pPr>
            <w:r>
              <w:rPr>
                <w:rFonts w:hint="eastAsia" w:ascii="仿宋" w:hAnsi="仿宋" w:eastAsia="仿宋"/>
                <w:sz w:val="24"/>
                <w:highlight w:val="none"/>
              </w:rPr>
              <w:t>2、本次招标的数量为预估量，最终结算数量以双方确认的实际供货数量为准。</w:t>
            </w:r>
          </w:p>
          <w:p>
            <w:pPr>
              <w:spacing w:line="400" w:lineRule="exact"/>
              <w:ind w:firstLine="720" w:firstLineChars="300"/>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5"/>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821" w:type="dxa"/>
            <w:gridSpan w:val="2"/>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6087"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5"/>
            <w:vMerge w:val="continue"/>
            <w:vAlign w:val="center"/>
          </w:tcPr>
          <w:p>
            <w:pPr>
              <w:spacing w:line="400" w:lineRule="exact"/>
              <w:rPr>
                <w:rFonts w:ascii="仿宋" w:hAnsi="仿宋" w:eastAsia="仿宋"/>
                <w:sz w:val="24"/>
                <w:highlight w:val="none"/>
              </w:rPr>
            </w:pPr>
          </w:p>
        </w:tc>
        <w:tc>
          <w:tcPr>
            <w:tcW w:w="3821" w:type="dxa"/>
            <w:gridSpan w:val="2"/>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472"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5"/>
            <w:vMerge w:val="continue"/>
            <w:vAlign w:val="center"/>
          </w:tcPr>
          <w:p>
            <w:pPr>
              <w:spacing w:line="400" w:lineRule="exact"/>
              <w:rPr>
                <w:rFonts w:ascii="仿宋" w:hAnsi="仿宋" w:eastAsia="仿宋"/>
                <w:sz w:val="24"/>
                <w:highlight w:val="none"/>
              </w:rPr>
            </w:pPr>
          </w:p>
        </w:tc>
        <w:tc>
          <w:tcPr>
            <w:tcW w:w="3821" w:type="dxa"/>
            <w:gridSpan w:val="2"/>
            <w:vMerge w:val="continue"/>
            <w:vAlign w:val="center"/>
          </w:tcPr>
          <w:p>
            <w:pPr>
              <w:spacing w:line="400" w:lineRule="exact"/>
              <w:jc w:val="center"/>
              <w:rPr>
                <w:rFonts w:ascii="仿宋" w:hAnsi="仿宋" w:eastAsia="仿宋"/>
                <w:sz w:val="24"/>
                <w:highlight w:val="none"/>
              </w:rPr>
            </w:pPr>
          </w:p>
        </w:tc>
        <w:tc>
          <w:tcPr>
            <w:tcW w:w="2472"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cs="仿宋_GB2312"/>
          <w:b/>
          <w:sz w:val="36"/>
          <w:szCs w:val="36"/>
          <w:highlight w:val="none"/>
        </w:rPr>
      </w:pPr>
    </w:p>
    <w:p>
      <w:pPr>
        <w:spacing w:line="400" w:lineRule="exact"/>
        <w:rPr>
          <w:rFonts w:ascii="仿宋" w:hAnsi="仿宋" w:eastAsia="仿宋" w:cs="仿宋_GB2312"/>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w:pict>
        <v:shape id="文本框 2051" o:spid="_x0000_s2049"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path/>
          <v:fill on="f" focussize="0,0"/>
          <v:stroke on="f" joinstyle="miter"/>
          <v:imagedata o:title=""/>
          <o:lock v:ext="edit"/>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pict>
        <v:shape id="_x0000_i1025"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pict>
        <v:shape id="_x0000_i1026"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3945E07"/>
    <w:rsid w:val="15737884"/>
    <w:rsid w:val="15750C31"/>
    <w:rsid w:val="16B948A5"/>
    <w:rsid w:val="17D86D23"/>
    <w:rsid w:val="17F4775E"/>
    <w:rsid w:val="18AF15FD"/>
    <w:rsid w:val="19E94006"/>
    <w:rsid w:val="1BBF797C"/>
    <w:rsid w:val="1DB63303"/>
    <w:rsid w:val="1DE26149"/>
    <w:rsid w:val="1DEE2CCA"/>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C56F3"/>
    <w:rsid w:val="26A26CEB"/>
    <w:rsid w:val="27235E7D"/>
    <w:rsid w:val="276F4E38"/>
    <w:rsid w:val="2834446C"/>
    <w:rsid w:val="28B84042"/>
    <w:rsid w:val="299D4A4C"/>
    <w:rsid w:val="2A1902C2"/>
    <w:rsid w:val="2C6224E4"/>
    <w:rsid w:val="2C995D0F"/>
    <w:rsid w:val="2D3E7816"/>
    <w:rsid w:val="2DC36D5F"/>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E583AD2"/>
    <w:rsid w:val="3FD0292A"/>
    <w:rsid w:val="3FF77603"/>
    <w:rsid w:val="413C763F"/>
    <w:rsid w:val="41B14926"/>
    <w:rsid w:val="41B46B47"/>
    <w:rsid w:val="41DA5117"/>
    <w:rsid w:val="424B79E0"/>
    <w:rsid w:val="42FA2D1F"/>
    <w:rsid w:val="434963F7"/>
    <w:rsid w:val="436B2C00"/>
    <w:rsid w:val="439F612A"/>
    <w:rsid w:val="441344E9"/>
    <w:rsid w:val="44842956"/>
    <w:rsid w:val="44B922E9"/>
    <w:rsid w:val="45086E27"/>
    <w:rsid w:val="465E02D2"/>
    <w:rsid w:val="48FC1957"/>
    <w:rsid w:val="499D4ACB"/>
    <w:rsid w:val="4A2F30D1"/>
    <w:rsid w:val="4BC1413C"/>
    <w:rsid w:val="4C656785"/>
    <w:rsid w:val="4DFA18E0"/>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Pages>
  <Words>718</Words>
  <Characters>4096</Characters>
  <Lines>34</Lines>
  <Paragraphs>9</Paragraphs>
  <TotalTime>222</TotalTime>
  <ScaleCrop>false</ScaleCrop>
  <LinksUpToDate>false</LinksUpToDate>
  <CharactersWithSpaces>4805</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2024-01-19T07:10:59Z</dcterms:modified>
  <dc:title>中华人民共和国</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