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铜陵铜冠建安第二事业部</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海亮项目泡沫混凝土</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TGJA-WZ-202410</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bookmarkStart w:id="0" w:name="_GoBack"/>
      <w:bookmarkEnd w:id="0"/>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2024年1月24日12:00止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bCs/>
          <w:color w:val="000000"/>
          <w:sz w:val="24"/>
          <w:highlight w:val="none"/>
          <w:u w:val="single"/>
        </w:rPr>
        <w:t>贰仟元整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铜陵铜冠建安第二事业部海亮项目TGJA-WZ-202410投标保证金。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材料送至铜冠建安公司铜陵市区施工现场。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（1）本次招标价为含税含运费一票制价格。</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（2）一经中标，合同期内价格不予调整。</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（3）本次竞价总价设最高限价（含13%税价），最高限价180000元，超过最高限价的报价（含本数）将做为废标处理。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报价单（TGJA-WZ-202410）：</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849"/>
        <w:gridCol w:w="982"/>
        <w:gridCol w:w="1488"/>
        <w:gridCol w:w="2333"/>
        <w:gridCol w:w="1417"/>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序号</w:t>
            </w:r>
          </w:p>
        </w:tc>
        <w:tc>
          <w:tcPr>
            <w:tcW w:w="1587"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物料名称</w:t>
            </w:r>
          </w:p>
        </w:tc>
        <w:tc>
          <w:tcPr>
            <w:tcW w:w="1594"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型号规格</w:t>
            </w:r>
          </w:p>
        </w:tc>
        <w:tc>
          <w:tcPr>
            <w:tcW w:w="849"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单位</w:t>
            </w:r>
          </w:p>
        </w:tc>
        <w:tc>
          <w:tcPr>
            <w:tcW w:w="982"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数量</w:t>
            </w:r>
          </w:p>
        </w:tc>
        <w:tc>
          <w:tcPr>
            <w:tcW w:w="1488"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含税含运费单价</w:t>
            </w:r>
            <w:r>
              <w:rPr>
                <w:rFonts w:hint="eastAsia" w:ascii="仿宋" w:hAnsi="仿宋" w:eastAsia="仿宋"/>
                <w:color w:val="FF0000"/>
                <w:sz w:val="24"/>
                <w:highlight w:val="none"/>
              </w:rPr>
              <w:t>*</w:t>
            </w:r>
          </w:p>
        </w:tc>
        <w:tc>
          <w:tcPr>
            <w:tcW w:w="2333" w:type="dxa"/>
            <w:vAlign w:val="center"/>
          </w:tcPr>
          <w:p>
            <w:pPr>
              <w:spacing w:line="400" w:lineRule="exact"/>
              <w:jc w:val="center"/>
              <w:rPr>
                <w:rFonts w:ascii="仿宋" w:hAnsi="仿宋" w:eastAsia="仿宋"/>
                <w:sz w:val="24"/>
                <w:highlight w:val="none"/>
              </w:rPr>
            </w:pPr>
            <w:r>
              <w:rPr>
                <w:rFonts w:ascii="仿宋" w:hAnsi="仿宋" w:eastAsia="仿宋"/>
                <w:sz w:val="24"/>
                <w:highlight w:val="none"/>
              </w:rPr>
              <w:t>含税</w:t>
            </w:r>
            <w:r>
              <w:rPr>
                <w:rFonts w:hint="eastAsia" w:ascii="仿宋" w:hAnsi="仿宋" w:eastAsia="仿宋"/>
                <w:sz w:val="24"/>
                <w:highlight w:val="none"/>
              </w:rPr>
              <w:t>含运费</w:t>
            </w:r>
          </w:p>
          <w:p>
            <w:pPr>
              <w:spacing w:line="400" w:lineRule="exact"/>
              <w:jc w:val="center"/>
              <w:rPr>
                <w:rFonts w:ascii="仿宋" w:hAnsi="仿宋" w:eastAsia="仿宋"/>
                <w:sz w:val="24"/>
                <w:highlight w:val="none"/>
              </w:rPr>
            </w:pPr>
            <w:r>
              <w:rPr>
                <w:rFonts w:ascii="仿宋" w:hAnsi="仿宋" w:eastAsia="仿宋"/>
                <w:sz w:val="24"/>
                <w:highlight w:val="none"/>
              </w:rPr>
              <w:t>金额</w:t>
            </w:r>
            <w:r>
              <w:rPr>
                <w:rFonts w:hint="eastAsia" w:ascii="仿宋" w:hAnsi="仿宋" w:eastAsia="仿宋"/>
                <w:color w:val="FF0000"/>
                <w:sz w:val="24"/>
                <w:highlight w:val="none"/>
              </w:rPr>
              <w:t>*</w:t>
            </w:r>
          </w:p>
        </w:tc>
        <w:tc>
          <w:tcPr>
            <w:tcW w:w="1417"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税率</w:t>
            </w:r>
            <w:r>
              <w:rPr>
                <w:rFonts w:hint="eastAsia" w:ascii="仿宋" w:hAnsi="仿宋" w:eastAsia="仿宋"/>
                <w:color w:val="FF0000"/>
                <w:sz w:val="24"/>
                <w:highlight w:val="none"/>
              </w:rPr>
              <w:t>*</w:t>
            </w:r>
          </w:p>
        </w:tc>
        <w:tc>
          <w:tcPr>
            <w:tcW w:w="2356"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是否为增值税专用发票</w:t>
            </w:r>
            <w:r>
              <w:rPr>
                <w:rFonts w:hint="eastAsia" w:ascii="仿宋" w:hAnsi="仿宋" w:eastAsia="仿宋"/>
                <w:color w:val="FF0000"/>
                <w:sz w:val="24"/>
                <w:highlight w:val="none"/>
              </w:rPr>
              <w:t>*</w:t>
            </w:r>
          </w:p>
        </w:tc>
        <w:tc>
          <w:tcPr>
            <w:tcW w:w="2314"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1</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泡沫混凝土</w:t>
            </w:r>
          </w:p>
        </w:tc>
        <w:tc>
          <w:tcPr>
            <w:tcW w:w="1594" w:type="dxa"/>
            <w:vAlign w:val="center"/>
          </w:tcPr>
          <w:p>
            <w:pPr>
              <w:jc w:val="center"/>
              <w:rPr>
                <w:rFonts w:ascii="宋体" w:hAnsi="宋体" w:cs="宋体"/>
                <w:color w:val="000000"/>
                <w:sz w:val="22"/>
                <w:szCs w:val="22"/>
                <w:highlight w:val="none"/>
              </w:rPr>
            </w:pPr>
            <w:r>
              <w:rPr>
                <w:rFonts w:hint="eastAsia"/>
                <w:color w:val="000000"/>
                <w:sz w:val="22"/>
                <w:szCs w:val="22"/>
                <w:highlight w:val="none"/>
              </w:rPr>
              <w:t>A1.5</w:t>
            </w:r>
          </w:p>
        </w:tc>
        <w:tc>
          <w:tcPr>
            <w:tcW w:w="849" w:type="dxa"/>
            <w:vAlign w:val="center"/>
          </w:tcPr>
          <w:p>
            <w:pPr>
              <w:jc w:val="center"/>
              <w:rPr>
                <w:rFonts w:ascii="宋体" w:hAnsi="宋体" w:cs="宋体"/>
                <w:color w:val="000000"/>
                <w:sz w:val="22"/>
                <w:szCs w:val="22"/>
                <w:highlight w:val="none"/>
              </w:rPr>
            </w:pPr>
            <w:r>
              <w:rPr>
                <w:rFonts w:hint="eastAsia"/>
                <w:color w:val="000000"/>
                <w:sz w:val="22"/>
                <w:szCs w:val="22"/>
                <w:highlight w:val="none"/>
              </w:rPr>
              <w:t>m</w:t>
            </w:r>
            <w:r>
              <w:rPr>
                <w:rFonts w:hint="eastAsia"/>
                <w:color w:val="000000"/>
                <w:sz w:val="22"/>
                <w:szCs w:val="22"/>
                <w:highlight w:val="none"/>
                <w:vertAlign w:val="superscript"/>
              </w:rPr>
              <w:t>3</w:t>
            </w:r>
          </w:p>
        </w:tc>
        <w:tc>
          <w:tcPr>
            <w:tcW w:w="982" w:type="dxa"/>
            <w:vAlign w:val="center"/>
          </w:tcPr>
          <w:p>
            <w:pPr>
              <w:jc w:val="center"/>
              <w:rPr>
                <w:rFonts w:ascii="宋体" w:hAnsi="宋体" w:cs="宋体"/>
                <w:color w:val="000000"/>
                <w:sz w:val="22"/>
                <w:szCs w:val="22"/>
                <w:highlight w:val="none"/>
              </w:rPr>
            </w:pPr>
            <w:r>
              <w:rPr>
                <w:rFonts w:hint="eastAsia"/>
                <w:color w:val="000000"/>
                <w:sz w:val="22"/>
                <w:szCs w:val="22"/>
                <w:highlight w:val="none"/>
              </w:rPr>
              <w:t>600</w:t>
            </w:r>
          </w:p>
        </w:tc>
        <w:tc>
          <w:tcPr>
            <w:tcW w:w="1488" w:type="dxa"/>
            <w:vAlign w:val="center"/>
          </w:tcPr>
          <w:p>
            <w:pPr>
              <w:spacing w:line="400" w:lineRule="exact"/>
              <w:jc w:val="center"/>
              <w:rPr>
                <w:rFonts w:ascii="仿宋" w:hAnsi="仿宋" w:eastAsia="仿宋"/>
                <w:sz w:val="24"/>
                <w:highlight w:val="none"/>
              </w:rPr>
            </w:pP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p>
        </w:tc>
        <w:tc>
          <w:tcPr>
            <w:tcW w:w="6500" w:type="dxa"/>
            <w:gridSpan w:val="5"/>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合计：</w:t>
            </w: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宋体" w:hAnsi="宋体" w:cs="宋体"/>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1"/>
            <w:vAlign w:val="center"/>
          </w:tcPr>
          <w:p>
            <w:pPr>
              <w:spacing w:line="400" w:lineRule="exact"/>
              <w:rPr>
                <w:rFonts w:ascii="仿宋" w:hAnsi="仿宋" w:eastAsia="仿宋"/>
                <w:sz w:val="24"/>
                <w:highlight w:val="none"/>
              </w:rPr>
            </w:pPr>
            <w:r>
              <w:rPr>
                <w:rFonts w:hint="eastAsia" w:ascii="仿宋" w:hAnsi="仿宋" w:eastAsia="仿宋"/>
                <w:sz w:val="24"/>
                <w:highlight w:val="none"/>
              </w:rPr>
              <w:t xml:space="preserve">说明：1、此报价表中带 </w:t>
            </w:r>
            <w:r>
              <w:rPr>
                <w:rFonts w:hint="eastAsia" w:ascii="仿宋" w:hAnsi="仿宋" w:eastAsia="仿宋"/>
                <w:color w:val="FF0000"/>
                <w:sz w:val="24"/>
                <w:highlight w:val="none"/>
              </w:rPr>
              <w:t>＊</w:t>
            </w:r>
            <w:r>
              <w:rPr>
                <w:rFonts w:hint="eastAsia" w:ascii="仿宋" w:hAnsi="仿宋" w:eastAsia="仿宋"/>
                <w:sz w:val="24"/>
                <w:highlight w:val="none"/>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highlight w:val="none"/>
              </w:rPr>
            </w:pPr>
            <w:r>
              <w:rPr>
                <w:rFonts w:hint="eastAsia" w:ascii="仿宋" w:hAnsi="仿宋" w:eastAsia="仿宋"/>
                <w:sz w:val="24"/>
                <w:highlight w:val="none"/>
              </w:rPr>
              <w:t>2、本次招标的数量为预估量，最终结算数量以双方确认的实际供货数量为准。</w:t>
            </w:r>
          </w:p>
          <w:p>
            <w:pPr>
              <w:spacing w:line="400" w:lineRule="exact"/>
              <w:ind w:firstLine="720" w:firstLineChars="3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821" w:type="dxa"/>
            <w:gridSpan w:val="2"/>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6087"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highlight w:val="none"/>
              </w:rPr>
            </w:pPr>
          </w:p>
        </w:tc>
        <w:tc>
          <w:tcPr>
            <w:tcW w:w="3821" w:type="dxa"/>
            <w:gridSpan w:val="2"/>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472"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highlight w:val="none"/>
              </w:rPr>
            </w:pPr>
          </w:p>
        </w:tc>
        <w:tc>
          <w:tcPr>
            <w:tcW w:w="3821" w:type="dxa"/>
            <w:gridSpan w:val="2"/>
            <w:vMerge w:val="continue"/>
            <w:vAlign w:val="center"/>
          </w:tcPr>
          <w:p>
            <w:pPr>
              <w:spacing w:line="400" w:lineRule="exact"/>
              <w:jc w:val="center"/>
              <w:rPr>
                <w:rFonts w:ascii="仿宋" w:hAnsi="仿宋" w:eastAsia="仿宋"/>
                <w:sz w:val="24"/>
                <w:highlight w:val="none"/>
              </w:rPr>
            </w:pPr>
          </w:p>
        </w:tc>
        <w:tc>
          <w:tcPr>
            <w:tcW w:w="2472"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cs="仿宋_GB2312"/>
          <w:b/>
          <w:sz w:val="36"/>
          <w:szCs w:val="36"/>
          <w:highlight w:val="none"/>
        </w:rPr>
      </w:pPr>
    </w:p>
    <w:p>
      <w:pPr>
        <w:spacing w:line="400" w:lineRule="exact"/>
        <w:rPr>
          <w:rFonts w:ascii="仿宋" w:hAnsi="仿宋" w:eastAsia="仿宋" w:cs="仿宋_GB2312"/>
          <w:b/>
          <w:sz w:val="28"/>
          <w:szCs w:val="28"/>
          <w:highlight w:val="none"/>
        </w:rPr>
      </w:pPr>
    </w:p>
    <w:p>
      <w:pPr>
        <w:spacing w:line="400" w:lineRule="exact"/>
        <w:rPr>
          <w:rFonts w:ascii="仿宋" w:hAnsi="仿宋" w:eastAsia="仿宋" w:cs="仿宋_GB2312"/>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917"/>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D7DDB"/>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83D37"/>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69B2F1B"/>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712</Words>
  <Characters>4061</Characters>
  <Lines>33</Lines>
  <Paragraphs>9</Paragraphs>
  <TotalTime>157</TotalTime>
  <ScaleCrop>false</ScaleCrop>
  <LinksUpToDate>false</LinksUpToDate>
  <CharactersWithSpaces>4764</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2024-01-19T07:09:12Z</dcterms:modified>
  <dc:title>中华人民共和国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