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海亮项目涂料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TGJA-WZ-202411</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bookmarkStart w:id="0" w:name="_GoBack"/>
      <w:bookmarkEnd w:id="0"/>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2024年1月24日12:00止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铜陵铜冠建安第二事业部海亮项目TGJA-WZ-202411投标保证金。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材料送至铜冠建安公司铜陵市区施工现场。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（3）本次竞价总价设最高限价（含13%税价），最高限价660000元，超过最高限价的报价（含本数）将做为废标处理。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报价单（TGJA-WZ-202411）：</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序号</w:t>
            </w:r>
          </w:p>
        </w:tc>
        <w:tc>
          <w:tcPr>
            <w:tcW w:w="158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物料名称</w:t>
            </w:r>
          </w:p>
        </w:tc>
        <w:tc>
          <w:tcPr>
            <w:tcW w:w="159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型号规格</w:t>
            </w:r>
          </w:p>
        </w:tc>
        <w:tc>
          <w:tcPr>
            <w:tcW w:w="849"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单位</w:t>
            </w:r>
          </w:p>
        </w:tc>
        <w:tc>
          <w:tcPr>
            <w:tcW w:w="982"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数量</w:t>
            </w:r>
          </w:p>
        </w:tc>
        <w:tc>
          <w:tcPr>
            <w:tcW w:w="1488"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含税含运费单价</w:t>
            </w:r>
            <w:r>
              <w:rPr>
                <w:rFonts w:hint="eastAsia" w:ascii="仿宋" w:hAnsi="仿宋" w:eastAsia="仿宋"/>
                <w:color w:val="FF0000"/>
                <w:sz w:val="24"/>
                <w:highlight w:val="none"/>
              </w:rPr>
              <w:t>*</w:t>
            </w:r>
          </w:p>
        </w:tc>
        <w:tc>
          <w:tcPr>
            <w:tcW w:w="2333" w:type="dxa"/>
            <w:vAlign w:val="center"/>
          </w:tcPr>
          <w:p>
            <w:pPr>
              <w:spacing w:line="400" w:lineRule="exact"/>
              <w:jc w:val="center"/>
              <w:rPr>
                <w:rFonts w:ascii="仿宋" w:hAnsi="仿宋" w:eastAsia="仿宋"/>
                <w:sz w:val="24"/>
                <w:highlight w:val="none"/>
              </w:rPr>
            </w:pPr>
            <w:r>
              <w:rPr>
                <w:rFonts w:ascii="仿宋" w:hAnsi="仿宋" w:eastAsia="仿宋"/>
                <w:sz w:val="24"/>
                <w:highlight w:val="none"/>
              </w:rPr>
              <w:t>含税</w:t>
            </w:r>
            <w:r>
              <w:rPr>
                <w:rFonts w:hint="eastAsia" w:ascii="仿宋" w:hAnsi="仿宋" w:eastAsia="仿宋"/>
                <w:sz w:val="24"/>
                <w:highlight w:val="none"/>
              </w:rPr>
              <w:t>含运费</w:t>
            </w:r>
          </w:p>
          <w:p>
            <w:pPr>
              <w:spacing w:line="400" w:lineRule="exact"/>
              <w:jc w:val="center"/>
              <w:rPr>
                <w:rFonts w:ascii="仿宋" w:hAnsi="仿宋" w:eastAsia="仿宋"/>
                <w:sz w:val="24"/>
                <w:highlight w:val="none"/>
              </w:rPr>
            </w:pPr>
            <w:r>
              <w:rPr>
                <w:rFonts w:ascii="仿宋" w:hAnsi="仿宋" w:eastAsia="仿宋"/>
                <w:sz w:val="24"/>
                <w:highlight w:val="none"/>
              </w:rPr>
              <w:t>金额</w:t>
            </w:r>
            <w:r>
              <w:rPr>
                <w:rFonts w:hint="eastAsia" w:ascii="仿宋" w:hAnsi="仿宋" w:eastAsia="仿宋"/>
                <w:color w:val="FF0000"/>
                <w:sz w:val="24"/>
                <w:highlight w:val="none"/>
              </w:rPr>
              <w:t>*</w:t>
            </w:r>
          </w:p>
        </w:tc>
        <w:tc>
          <w:tcPr>
            <w:tcW w:w="141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税率</w:t>
            </w:r>
            <w:r>
              <w:rPr>
                <w:rFonts w:hint="eastAsia" w:ascii="仿宋" w:hAnsi="仿宋" w:eastAsia="仿宋"/>
                <w:color w:val="FF0000"/>
                <w:sz w:val="24"/>
                <w:highlight w:val="none"/>
              </w:rPr>
              <w:t>*</w:t>
            </w:r>
          </w:p>
        </w:tc>
        <w:tc>
          <w:tcPr>
            <w:tcW w:w="2356"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是否为增值税专用发票</w:t>
            </w:r>
            <w:r>
              <w:rPr>
                <w:rFonts w:hint="eastAsia" w:ascii="仿宋" w:hAnsi="仿宋" w:eastAsia="仿宋"/>
                <w:color w:val="FF0000"/>
                <w:sz w:val="24"/>
                <w:highlight w:val="none"/>
              </w:rPr>
              <w:t>*</w:t>
            </w:r>
          </w:p>
        </w:tc>
        <w:tc>
          <w:tcPr>
            <w:tcW w:w="231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1</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碱金属硅酸盐内墙涂料</w:t>
            </w:r>
          </w:p>
        </w:tc>
        <w:tc>
          <w:tcPr>
            <w:tcW w:w="1594" w:type="dxa"/>
            <w:vAlign w:val="center"/>
          </w:tcPr>
          <w:p>
            <w:pPr>
              <w:jc w:val="center"/>
              <w:rPr>
                <w:rFonts w:ascii="宋体" w:hAnsi="宋体" w:cs="宋体"/>
                <w:color w:val="000000"/>
                <w:sz w:val="22"/>
                <w:szCs w:val="22"/>
                <w:highlight w:val="none"/>
              </w:rPr>
            </w:pP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kg</w:t>
            </w:r>
          </w:p>
        </w:tc>
        <w:tc>
          <w:tcPr>
            <w:tcW w:w="982" w:type="dxa"/>
            <w:vAlign w:val="center"/>
          </w:tcPr>
          <w:p>
            <w:pPr>
              <w:jc w:val="center"/>
              <w:rPr>
                <w:rFonts w:ascii="宋体" w:hAnsi="宋体" w:cs="宋体"/>
                <w:color w:val="000000"/>
                <w:sz w:val="22"/>
                <w:szCs w:val="22"/>
                <w:highlight w:val="none"/>
              </w:rPr>
            </w:pPr>
            <w:r>
              <w:rPr>
                <w:rFonts w:hint="eastAsia"/>
                <w:color w:val="000000"/>
                <w:sz w:val="22"/>
                <w:szCs w:val="22"/>
                <w:highlight w:val="none"/>
              </w:rPr>
              <w:t>17000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2</w:t>
            </w:r>
          </w:p>
        </w:tc>
        <w:tc>
          <w:tcPr>
            <w:tcW w:w="1587" w:type="dxa"/>
            <w:vAlign w:val="center"/>
          </w:tcPr>
          <w:p>
            <w:pPr>
              <w:jc w:val="center"/>
              <w:rPr>
                <w:color w:val="000000"/>
                <w:sz w:val="22"/>
                <w:szCs w:val="22"/>
                <w:highlight w:val="none"/>
              </w:rPr>
            </w:pPr>
            <w:r>
              <w:rPr>
                <w:rFonts w:hint="eastAsia"/>
                <w:color w:val="000000"/>
                <w:sz w:val="22"/>
                <w:szCs w:val="22"/>
                <w:highlight w:val="none"/>
              </w:rPr>
              <w:t>耐水腻子</w:t>
            </w:r>
          </w:p>
        </w:tc>
        <w:tc>
          <w:tcPr>
            <w:tcW w:w="1594" w:type="dxa"/>
            <w:vAlign w:val="center"/>
          </w:tcPr>
          <w:p>
            <w:pPr>
              <w:jc w:val="center"/>
              <w:rPr>
                <w:color w:val="000000"/>
                <w:sz w:val="22"/>
                <w:szCs w:val="22"/>
                <w:highlight w:val="none"/>
              </w:rPr>
            </w:pPr>
          </w:p>
        </w:tc>
        <w:tc>
          <w:tcPr>
            <w:tcW w:w="849" w:type="dxa"/>
            <w:vAlign w:val="center"/>
          </w:tcPr>
          <w:p>
            <w:pPr>
              <w:jc w:val="center"/>
              <w:rPr>
                <w:color w:val="000000"/>
                <w:sz w:val="22"/>
                <w:szCs w:val="22"/>
                <w:highlight w:val="none"/>
              </w:rPr>
            </w:pPr>
            <w:r>
              <w:rPr>
                <w:rFonts w:hint="eastAsia"/>
                <w:color w:val="000000"/>
                <w:sz w:val="22"/>
                <w:szCs w:val="22"/>
                <w:highlight w:val="none"/>
              </w:rPr>
              <w:t>kg</w:t>
            </w:r>
          </w:p>
        </w:tc>
        <w:tc>
          <w:tcPr>
            <w:tcW w:w="982" w:type="dxa"/>
            <w:vAlign w:val="center"/>
          </w:tcPr>
          <w:p>
            <w:pPr>
              <w:jc w:val="center"/>
              <w:rPr>
                <w:color w:val="000000"/>
                <w:sz w:val="22"/>
                <w:szCs w:val="22"/>
                <w:highlight w:val="none"/>
              </w:rPr>
            </w:pPr>
            <w:r>
              <w:rPr>
                <w:rFonts w:hint="eastAsia"/>
                <w:color w:val="000000"/>
                <w:sz w:val="22"/>
                <w:szCs w:val="22"/>
                <w:highlight w:val="none"/>
              </w:rPr>
              <w:t>46000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rPr>
            </w:pPr>
            <w:r>
              <w:rPr>
                <w:rFonts w:hint="eastAsia" w:ascii="仿宋" w:hAnsi="仿宋" w:eastAsia="仿宋"/>
                <w:sz w:val="24"/>
                <w:highlight w:val="none"/>
              </w:rPr>
              <w:t>3</w:t>
            </w:r>
          </w:p>
        </w:tc>
        <w:tc>
          <w:tcPr>
            <w:tcW w:w="1587" w:type="dxa"/>
            <w:vAlign w:val="center"/>
          </w:tcPr>
          <w:p>
            <w:pPr>
              <w:jc w:val="center"/>
              <w:rPr>
                <w:rFonts w:hint="eastAsia"/>
                <w:color w:val="000000"/>
                <w:sz w:val="22"/>
                <w:szCs w:val="22"/>
                <w:highlight w:val="none"/>
              </w:rPr>
            </w:pPr>
            <w:r>
              <w:rPr>
                <w:rFonts w:hint="eastAsia"/>
                <w:color w:val="000000"/>
                <w:sz w:val="22"/>
                <w:szCs w:val="22"/>
                <w:highlight w:val="none"/>
              </w:rPr>
              <w:t>真石漆</w:t>
            </w:r>
          </w:p>
        </w:tc>
        <w:tc>
          <w:tcPr>
            <w:tcW w:w="1594" w:type="dxa"/>
            <w:vAlign w:val="center"/>
          </w:tcPr>
          <w:p>
            <w:pPr>
              <w:jc w:val="center"/>
              <w:rPr>
                <w:color w:val="000000"/>
                <w:sz w:val="22"/>
                <w:szCs w:val="22"/>
                <w:highlight w:val="none"/>
              </w:rPr>
            </w:pPr>
          </w:p>
        </w:tc>
        <w:tc>
          <w:tcPr>
            <w:tcW w:w="849" w:type="dxa"/>
            <w:vAlign w:val="center"/>
          </w:tcPr>
          <w:p>
            <w:pPr>
              <w:jc w:val="center"/>
              <w:rPr>
                <w:rFonts w:hint="eastAsia"/>
                <w:color w:val="000000"/>
                <w:sz w:val="22"/>
                <w:szCs w:val="22"/>
                <w:highlight w:val="none"/>
              </w:rPr>
            </w:pPr>
            <w:r>
              <w:rPr>
                <w:rFonts w:hint="eastAsia"/>
                <w:color w:val="000000"/>
                <w:sz w:val="22"/>
                <w:szCs w:val="22"/>
                <w:highlight w:val="none"/>
              </w:rPr>
              <w:t>kg</w:t>
            </w:r>
          </w:p>
        </w:tc>
        <w:tc>
          <w:tcPr>
            <w:tcW w:w="982" w:type="dxa"/>
            <w:vAlign w:val="center"/>
          </w:tcPr>
          <w:p>
            <w:pPr>
              <w:jc w:val="center"/>
              <w:rPr>
                <w:rFonts w:hint="eastAsia"/>
                <w:color w:val="000000"/>
                <w:sz w:val="22"/>
                <w:szCs w:val="22"/>
                <w:highlight w:val="none"/>
              </w:rPr>
            </w:pPr>
            <w:r>
              <w:rPr>
                <w:rFonts w:hint="eastAsia"/>
                <w:color w:val="000000"/>
                <w:sz w:val="22"/>
                <w:szCs w:val="22"/>
                <w:highlight w:val="none"/>
              </w:rPr>
              <w:t>58000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p>
        </w:tc>
        <w:tc>
          <w:tcPr>
            <w:tcW w:w="6500" w:type="dxa"/>
            <w:gridSpan w:val="5"/>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合计：</w:t>
            </w: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ascii="仿宋" w:hAnsi="仿宋" w:eastAsia="仿宋"/>
                <w:sz w:val="24"/>
                <w:highlight w:val="none"/>
              </w:rPr>
            </w:pPr>
            <w:r>
              <w:rPr>
                <w:rFonts w:hint="eastAsia" w:ascii="仿宋" w:hAnsi="仿宋" w:eastAsia="仿宋"/>
                <w:sz w:val="24"/>
                <w:highlight w:val="none"/>
              </w:rPr>
              <w:t xml:space="preserve">说明：1、此报价表中带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821"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6087"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highlight w:val="none"/>
              </w:rPr>
            </w:pPr>
          </w:p>
        </w:tc>
        <w:tc>
          <w:tcPr>
            <w:tcW w:w="3821"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472"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highlight w:val="none"/>
              </w:rPr>
            </w:pPr>
          </w:p>
        </w:tc>
        <w:tc>
          <w:tcPr>
            <w:tcW w:w="3821" w:type="dxa"/>
            <w:gridSpan w:val="2"/>
            <w:vMerge w:val="continue"/>
            <w:vAlign w:val="center"/>
          </w:tcPr>
          <w:p>
            <w:pPr>
              <w:spacing w:line="400" w:lineRule="exact"/>
              <w:jc w:val="center"/>
              <w:rPr>
                <w:rFonts w:ascii="仿宋" w:hAnsi="仿宋" w:eastAsia="仿宋"/>
                <w:sz w:val="24"/>
                <w:highlight w:val="none"/>
              </w:rPr>
            </w:pPr>
          </w:p>
        </w:tc>
        <w:tc>
          <w:tcPr>
            <w:tcW w:w="2472"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36"/>
          <w:szCs w:val="36"/>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D7A461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719</Words>
  <Characters>4099</Characters>
  <Lines>34</Lines>
  <Paragraphs>9</Paragraphs>
  <TotalTime>181</TotalTime>
  <ScaleCrop>false</ScaleCrop>
  <LinksUpToDate>false</LinksUpToDate>
  <CharactersWithSpaces>4809</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2024-01-19T07:10:19Z</dcterms:modified>
  <dc:title>中华人民共和国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