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建材公司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钢渣粉</w:t>
      </w:r>
      <w:r>
        <w:rPr>
          <w:rFonts w:hint="eastAsia" w:ascii="仿宋" w:hAnsi="仿宋" w:eastAsia="仿宋" w:cs="宋体"/>
          <w:b/>
          <w:bCs/>
          <w:kern w:val="1"/>
          <w:sz w:val="44"/>
          <w:szCs w:val="44"/>
          <w:highlight w:val="none"/>
          <w:u w:val="single"/>
        </w:rPr>
        <w:t>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31</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bookmarkStart w:id="0" w:name="_GoBack"/>
      <w:bookmarkEnd w:id="0"/>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建材公司钢渣粉材料</w:t>
      </w:r>
      <w:r>
        <w:rPr>
          <w:rFonts w:hint="eastAsia" w:ascii="仿宋" w:hAnsi="仿宋" w:eastAsia="仿宋" w:cs="仿宋_GB2312"/>
          <w:b/>
          <w:bCs/>
          <w:sz w:val="24"/>
          <w:highlight w:val="none"/>
          <w:u w:val="single"/>
        </w:rPr>
        <w:t>TGJA-WZ-2024</w:t>
      </w:r>
      <w:r>
        <w:rPr>
          <w:rFonts w:hint="eastAsia" w:ascii="仿宋" w:hAnsi="仿宋" w:eastAsia="仿宋" w:cs="仿宋_GB2312"/>
          <w:b/>
          <w:bCs/>
          <w:sz w:val="24"/>
          <w:highlight w:val="none"/>
          <w:u w:val="single"/>
          <w:lang w:val="en-US" w:eastAsia="zh-CN"/>
        </w:rPr>
        <w:t>31</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3</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333333"/>
          <w:sz w:val="24"/>
          <w:szCs w:val="24"/>
          <w:shd w:val="clear" w:color="auto" w:fill="FFFFFF"/>
        </w:rPr>
        <w:t>满足GB/T20491《用于水泥和混凝土中的钢渣粉》中表1规定的二级钢渣粉技术要求。其中：三氧化硫≦4%，含水量≦1%，7天活性≧55%，28天活性≧65%。如有相关指标未达标，中标人应立即停供。</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w:t>
      </w:r>
      <w:r>
        <w:rPr>
          <w:rFonts w:hint="eastAsia" w:ascii="仿宋" w:hAnsi="仿宋" w:eastAsia="仿宋" w:cs="仿宋_GB2312"/>
          <w:sz w:val="24"/>
          <w:highlight w:val="none"/>
          <w:lang w:eastAsia="zh-CN"/>
        </w:rPr>
        <w:t>建材</w:t>
      </w:r>
      <w:r>
        <w:rPr>
          <w:rFonts w:hint="eastAsia" w:ascii="仿宋" w:hAnsi="仿宋" w:eastAsia="仿宋" w:cs="仿宋_GB2312"/>
          <w:sz w:val="24"/>
          <w:highlight w:val="none"/>
        </w:rPr>
        <w:t>公司</w:t>
      </w:r>
      <w:r>
        <w:rPr>
          <w:rFonts w:hint="eastAsia" w:ascii="仿宋" w:hAnsi="仿宋" w:eastAsia="仿宋" w:cs="仿宋_GB2312"/>
          <w:sz w:val="24"/>
          <w:highlight w:val="none"/>
          <w:lang w:eastAsia="zh-CN"/>
        </w:rPr>
        <w:t>原料仓内</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3</w:t>
      </w:r>
      <w:r>
        <w:rPr>
          <w:rFonts w:hint="eastAsia" w:ascii="仿宋" w:hAnsi="仿宋" w:eastAsia="仿宋" w:cs="仿宋_GB2312"/>
          <w:sz w:val="24"/>
          <w:highlight w:val="none"/>
          <w:lang w:eastAsia="zh-CN"/>
        </w:rPr>
        <w:t>）拦标价：</w:t>
      </w:r>
      <w:r>
        <w:rPr>
          <w:rFonts w:hint="eastAsia" w:ascii="仿宋" w:hAnsi="仿宋" w:eastAsia="仿宋" w:cs="仿宋_GB2312"/>
          <w:sz w:val="24"/>
          <w:highlight w:val="none"/>
          <w:lang w:val="en-US" w:eastAsia="zh-CN"/>
        </w:rPr>
        <w:t>150元/吨（含13%增值税含运费一票制价格）。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color w:val="333333"/>
          <w:sz w:val="24"/>
          <w:szCs w:val="24"/>
          <w:shd w:val="clear" w:color="auto" w:fill="FFFFFF"/>
        </w:rPr>
        <w:t>按照双方磅单量小数为结算数量</w:t>
      </w:r>
      <w:r>
        <w:rPr>
          <w:rFonts w:hint="eastAsia" w:ascii="仿宋" w:hAnsi="仿宋" w:eastAsia="仿宋" w:cs="仿宋"/>
          <w:sz w:val="24"/>
          <w:szCs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lang w:eastAsia="zh-CN"/>
        </w:rPr>
      </w:pPr>
      <w:r>
        <w:rPr>
          <w:rFonts w:hint="eastAsia" w:ascii="仿宋" w:hAnsi="仿宋" w:eastAsia="仿宋" w:cs="仿宋"/>
          <w:sz w:val="24"/>
          <w:szCs w:val="24"/>
        </w:rPr>
        <w:t>中标单位与铜冠建材公司签订两方合同。付款方式:入账次月支付上月货款的70%，2025年春节前付至90%，余款2025年年底付清。货款以对公转账方式支付至乙方对公账户，支付电汇或不超过合同总金额50%的6个月内电子承兑</w:t>
      </w:r>
      <w:r>
        <w:rPr>
          <w:rFonts w:hint="eastAsia" w:ascii="仿宋" w:hAnsi="仿宋" w:eastAsia="仿宋" w:cs="仿宋"/>
          <w:color w:val="171A1D"/>
          <w:sz w:val="24"/>
          <w:szCs w:val="24"/>
          <w:highlight w:val="none"/>
          <w:u w:val="none"/>
          <w:shd w:val="clear" w:color="auto" w:fill="FFFFFF"/>
          <w:lang w:eastAsia="zh-CN"/>
        </w:rPr>
        <w:t>。</w:t>
      </w:r>
    </w:p>
    <w:p>
      <w:pPr>
        <w:numPr>
          <w:ilvl w:val="0"/>
          <w:numId w:val="3"/>
        </w:numPr>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供货要求</w:t>
      </w:r>
    </w:p>
    <w:p>
      <w:pPr>
        <w:spacing w:line="360" w:lineRule="auto"/>
        <w:jc w:val="left"/>
        <w:rPr>
          <w:rFonts w:hint="eastAsia" w:ascii="仿宋" w:hAnsi="仿宋" w:eastAsia="仿宋" w:cs="仿宋"/>
          <w:b/>
          <w:sz w:val="24"/>
          <w:szCs w:val="24"/>
          <w:highlight w:val="none"/>
        </w:rPr>
      </w:pP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1、供应时间：接中标通知后一周内起开始供货，供货期2024年4月，供货期内按实际用量结算。 2、供货方式：按需方通知分批供应，需方提前两天通过电话、微信等联系方式告知供方供应量。 3、库容量：可容纳500吨。 4、送货联系人：蔡伟18805623792。 5、送货地址：铜陵铜冠建安新型环保建材科技有限公司（翠湖四路与滨江大道交界处） 6、结算数量：每车货物买方复磅，以买卖双方磅单量小者为准结算；供方每月21号与需方核对本月（上月21日至本月20日）供应数量和金额，供应数量按照双方磅单量小数为结算数量，买卖双方共同确认供应数量和金额后在结算单签字盖章。</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4"/>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4"/>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31</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right"/>
              <w:textAlignment w:val="center"/>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钢渣粉</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5000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314" w:type="dxa"/>
            <w:vAlign w:val="center"/>
          </w:tcPr>
          <w:p>
            <w:pPr>
              <w:widowControl/>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4"/>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ascii="仿宋" w:hAnsi="仿宋" w:eastAsia="仿宋"/>
                <w:sz w:val="24"/>
                <w:highlight w:val="none"/>
              </w:rPr>
            </w:pPr>
          </w:p>
        </w:tc>
        <w:tc>
          <w:tcPr>
            <w:tcW w:w="3963" w:type="dxa"/>
            <w:gridSpan w:val="4"/>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A107170"/>
    <w:multiLevelType w:val="singleLevel"/>
    <w:tmpl w:val="CA107170"/>
    <w:lvl w:ilvl="0" w:tentative="0">
      <w:start w:val="9"/>
      <w:numFmt w:val="decimal"/>
      <w:suff w:val="nothing"/>
      <w:lvlText w:val="%1、"/>
      <w:lvlJc w:val="left"/>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2FD4E76"/>
    <w:rsid w:val="03012A46"/>
    <w:rsid w:val="035F6345"/>
    <w:rsid w:val="036C34DA"/>
    <w:rsid w:val="03D355F0"/>
    <w:rsid w:val="03FA629B"/>
    <w:rsid w:val="05011011"/>
    <w:rsid w:val="053E62C7"/>
    <w:rsid w:val="05BF33B5"/>
    <w:rsid w:val="061F198A"/>
    <w:rsid w:val="076B4827"/>
    <w:rsid w:val="07A948CD"/>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ACA153B"/>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53D1D"/>
    <w:rsid w:val="266C56F3"/>
    <w:rsid w:val="26A26CEB"/>
    <w:rsid w:val="27235E7D"/>
    <w:rsid w:val="276F4E38"/>
    <w:rsid w:val="2834446C"/>
    <w:rsid w:val="28B84042"/>
    <w:rsid w:val="299D4A4C"/>
    <w:rsid w:val="2A1902C2"/>
    <w:rsid w:val="2C6224E4"/>
    <w:rsid w:val="2C995D0F"/>
    <w:rsid w:val="2D3E7816"/>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04F30BF"/>
    <w:rsid w:val="413C763F"/>
    <w:rsid w:val="41B14926"/>
    <w:rsid w:val="41B46B47"/>
    <w:rsid w:val="41DA5117"/>
    <w:rsid w:val="424B79E0"/>
    <w:rsid w:val="425704D3"/>
    <w:rsid w:val="42FA2D1F"/>
    <w:rsid w:val="434963F7"/>
    <w:rsid w:val="436B2C00"/>
    <w:rsid w:val="439F612A"/>
    <w:rsid w:val="441344E9"/>
    <w:rsid w:val="44842956"/>
    <w:rsid w:val="44B922E9"/>
    <w:rsid w:val="45086E27"/>
    <w:rsid w:val="465E02D2"/>
    <w:rsid w:val="48120ABB"/>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8348FA"/>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2024-03-13T00:11:52Z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