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建材公司</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lang w:eastAsia="zh-CN"/>
        </w:rPr>
        <w:t>脱硫灰</w:t>
      </w:r>
      <w:r>
        <w:rPr>
          <w:rFonts w:hint="eastAsia" w:ascii="仿宋" w:hAnsi="仿宋" w:eastAsia="仿宋" w:cs="宋体"/>
          <w:b/>
          <w:bCs/>
          <w:kern w:val="1"/>
          <w:sz w:val="44"/>
          <w:szCs w:val="44"/>
          <w:highlight w:val="none"/>
          <w:u w:val="single"/>
        </w:rPr>
        <w:t>材料</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33</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bookmarkStart w:id="0" w:name="_GoBack"/>
      <w:bookmarkEnd w:id="0"/>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2、投标人须为一般纳税人,开具13%增值税专用发票。</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20</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壹仟</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建材公司脱硫灰材料</w:t>
      </w:r>
      <w:r>
        <w:rPr>
          <w:rFonts w:hint="eastAsia" w:ascii="仿宋" w:hAnsi="仿宋" w:eastAsia="仿宋" w:cs="仿宋_GB2312"/>
          <w:b/>
          <w:bCs/>
          <w:sz w:val="24"/>
          <w:highlight w:val="none"/>
          <w:u w:val="single"/>
        </w:rPr>
        <w:t>TGJA-WZ-2024</w:t>
      </w:r>
      <w:r>
        <w:rPr>
          <w:rFonts w:hint="eastAsia" w:ascii="仿宋" w:hAnsi="仿宋" w:eastAsia="仿宋" w:cs="仿宋_GB2312"/>
          <w:b/>
          <w:bCs/>
          <w:sz w:val="24"/>
          <w:highlight w:val="none"/>
          <w:u w:val="single"/>
          <w:lang w:val="en-US" w:eastAsia="zh-CN"/>
        </w:rPr>
        <w:t>33</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color w:val="333333"/>
          <w:sz w:val="24"/>
          <w:szCs w:val="24"/>
          <w:shd w:val="clear" w:color="auto" w:fill="FFFFFF"/>
        </w:rPr>
        <w:t>细度≦10%（0.08mm筛子），外观白色，三氧化硫≧30%；胶凝试块28天强度满足Q/TGJC01-2021企业标准。如有相关指标未达标，中标人应立即停供。</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w:t>
      </w:r>
      <w:r>
        <w:rPr>
          <w:rFonts w:hint="eastAsia" w:ascii="仿宋" w:hAnsi="仿宋" w:eastAsia="仿宋" w:cs="仿宋_GB2312"/>
          <w:sz w:val="24"/>
          <w:highlight w:val="none"/>
          <w:lang w:eastAsia="zh-CN"/>
        </w:rPr>
        <w:t>建材</w:t>
      </w:r>
      <w:r>
        <w:rPr>
          <w:rFonts w:hint="eastAsia" w:ascii="仿宋" w:hAnsi="仿宋" w:eastAsia="仿宋" w:cs="仿宋_GB2312"/>
          <w:sz w:val="24"/>
          <w:highlight w:val="none"/>
        </w:rPr>
        <w:t>公司</w:t>
      </w:r>
      <w:r>
        <w:rPr>
          <w:rFonts w:hint="eastAsia" w:ascii="仿宋" w:hAnsi="仿宋" w:eastAsia="仿宋" w:cs="仿宋_GB2312"/>
          <w:sz w:val="24"/>
          <w:highlight w:val="none"/>
          <w:lang w:eastAsia="zh-CN"/>
        </w:rPr>
        <w:t>原料仓内</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hint="default" w:ascii="仿宋" w:hAnsi="仿宋" w:eastAsia="仿宋" w:cs="仿宋_GB2312"/>
          <w:sz w:val="24"/>
          <w:highlight w:val="none"/>
          <w:lang w:val="en-US" w:eastAsia="zh-CN"/>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3</w:t>
      </w:r>
      <w:r>
        <w:rPr>
          <w:rFonts w:hint="eastAsia" w:ascii="仿宋" w:hAnsi="仿宋" w:eastAsia="仿宋" w:cs="仿宋_GB2312"/>
          <w:sz w:val="24"/>
          <w:highlight w:val="none"/>
          <w:lang w:eastAsia="zh-CN"/>
        </w:rPr>
        <w:t>）拦标价：</w:t>
      </w:r>
      <w:r>
        <w:rPr>
          <w:rFonts w:hint="eastAsia" w:ascii="仿宋" w:hAnsi="仿宋" w:eastAsia="仿宋" w:cs="仿宋_GB2312"/>
          <w:sz w:val="24"/>
          <w:highlight w:val="none"/>
          <w:lang w:val="en-US" w:eastAsia="zh-CN"/>
        </w:rPr>
        <w:t>60元/吨（含13%增值税含运费一票制价格）。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color w:val="333333"/>
          <w:sz w:val="24"/>
          <w:szCs w:val="24"/>
          <w:shd w:val="clear" w:color="auto" w:fill="FFFFFF"/>
        </w:rPr>
        <w:t>按照双方磅单量小数为结算数量</w:t>
      </w:r>
      <w:r>
        <w:rPr>
          <w:rFonts w:hint="eastAsia" w:ascii="仿宋" w:hAnsi="仿宋" w:eastAsia="仿宋" w:cs="仿宋"/>
          <w:sz w:val="24"/>
          <w:szCs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lang w:eastAsia="zh-CN"/>
        </w:rPr>
      </w:pPr>
      <w:r>
        <w:rPr>
          <w:rFonts w:hint="eastAsia" w:ascii="仿宋" w:hAnsi="仿宋" w:eastAsia="仿宋" w:cs="仿宋"/>
          <w:sz w:val="24"/>
          <w:szCs w:val="24"/>
        </w:rPr>
        <w:t>中标单位与铜冠建材公司签订两方合同。付款方式:入账次月支付上月货款的70%，2025年春节前付至90%，余款2025年年底付清。货款以对公转账方式支付至乙方对公账户，支付电汇或不超过合同总金额50%的6个月内电子承兑</w:t>
      </w:r>
      <w:r>
        <w:rPr>
          <w:rFonts w:hint="eastAsia" w:ascii="仿宋" w:hAnsi="仿宋" w:eastAsia="仿宋" w:cs="仿宋"/>
          <w:color w:val="171A1D"/>
          <w:sz w:val="24"/>
          <w:szCs w:val="24"/>
          <w:highlight w:val="none"/>
          <w:u w:val="none"/>
          <w:shd w:val="clear" w:color="auto" w:fill="FFFFFF"/>
          <w:lang w:eastAsia="zh-CN"/>
        </w:rPr>
        <w:t>。</w:t>
      </w:r>
    </w:p>
    <w:p>
      <w:pPr>
        <w:numPr>
          <w:ilvl w:val="0"/>
          <w:numId w:val="3"/>
        </w:numPr>
        <w:spacing w:line="360" w:lineRule="auto"/>
        <w:ind w:firstLine="480" w:firstLineChars="200"/>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供货要求</w:t>
      </w:r>
    </w:p>
    <w:p>
      <w:pPr>
        <w:spacing w:line="360" w:lineRule="auto"/>
        <w:jc w:val="left"/>
        <w:rPr>
          <w:rFonts w:hint="eastAsia" w:ascii="仿宋" w:hAnsi="仿宋" w:eastAsia="仿宋" w:cs="仿宋"/>
          <w:b/>
          <w:sz w:val="24"/>
          <w:szCs w:val="24"/>
          <w:highlight w:val="none"/>
        </w:rPr>
      </w:pPr>
      <w:r>
        <w:rPr>
          <w:rFonts w:hint="eastAsia" w:ascii="仿宋" w:hAnsi="仿宋" w:eastAsia="仿宋" w:cs="仿宋"/>
          <w:color w:val="333333"/>
          <w:sz w:val="24"/>
          <w:szCs w:val="24"/>
          <w:shd w:val="clear" w:color="auto" w:fill="FFFFFF"/>
          <w:lang w:val="en-US" w:eastAsia="zh-CN"/>
        </w:rPr>
        <w:t xml:space="preserve">    </w:t>
      </w:r>
      <w:r>
        <w:rPr>
          <w:rFonts w:hint="eastAsia" w:ascii="仿宋" w:hAnsi="仿宋" w:eastAsia="仿宋" w:cs="仿宋"/>
          <w:color w:val="333333"/>
          <w:sz w:val="24"/>
          <w:szCs w:val="24"/>
          <w:shd w:val="clear" w:color="auto" w:fill="FFFFFF"/>
        </w:rPr>
        <w:t>1、供应时间：接中标通知后一周内起开始供货，供货期</w:t>
      </w:r>
      <w:r>
        <w:rPr>
          <w:rFonts w:hint="eastAsia" w:ascii="仿宋" w:hAnsi="仿宋" w:eastAsia="仿宋" w:cs="仿宋"/>
          <w:color w:val="333333"/>
          <w:kern w:val="0"/>
          <w:sz w:val="24"/>
          <w:szCs w:val="24"/>
          <w:shd w:val="clear" w:color="auto" w:fill="FFFFFF"/>
        </w:rPr>
        <w:t>2024年4月</w:t>
      </w:r>
      <w:r>
        <w:rPr>
          <w:rFonts w:hint="eastAsia" w:ascii="仿宋" w:hAnsi="仿宋" w:eastAsia="仿宋" w:cs="仿宋"/>
          <w:color w:val="333333"/>
          <w:sz w:val="24"/>
          <w:szCs w:val="24"/>
          <w:shd w:val="clear" w:color="auto" w:fill="FFFFFF"/>
        </w:rPr>
        <w:t>，供货期内按实际用量结算。 2、供货方式：按需方通知分批供应，需方提前两天通过电话、微信等联系方式告知供方供应量。 3、库容量：可容纳200吨。 4、送货联系人：蔡伟18805623792。 5、送货地址：铜陵铜冠建安新型环保建材科技有限公司（翠湖四路与滨江大道交界处） 6、结算数量：每车货物买方复磅，以买卖双方磅单量小者为准结算；供方每月21号与需方核对本月（上月21日至本月20日）供应数量和金额，供应数量按照双方磅单量小数为结算数量，买卖双方共同确认供应数量和金额后在结算单签字盖章。</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本次评标以价格为评标依据，采取“最低价中标法”评标。即以经评委会审核，剔除偏离市场行情较大的恶意报价后的报价进行排序。</w:t>
      </w:r>
      <w:r>
        <w:rPr>
          <w:rFonts w:hint="eastAsia" w:ascii="仿宋" w:hAnsi="仿宋" w:eastAsia="仿宋" w:cs="仿宋_GB2312"/>
          <w:sz w:val="24"/>
          <w:highlight w:val="none"/>
        </w:rPr>
        <w:t>本次招标设置控制价，具体见第八章第4条。</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4"/>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33</w:t>
      </w:r>
      <w:r>
        <w:rPr>
          <w:rFonts w:hint="eastAsia" w:ascii="仿宋" w:hAnsi="仿宋" w:eastAsia="仿宋"/>
          <w:b/>
          <w:sz w:val="28"/>
          <w:szCs w:val="28"/>
          <w:highlight w:val="none"/>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2"/>
        <w:gridCol w:w="2250"/>
        <w:gridCol w:w="650"/>
        <w:gridCol w:w="263"/>
        <w:gridCol w:w="989"/>
        <w:gridCol w:w="1293"/>
        <w:gridCol w:w="1418"/>
        <w:gridCol w:w="1275"/>
        <w:gridCol w:w="1055"/>
        <w:gridCol w:w="130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5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314"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w:t>
            </w:r>
          </w:p>
        </w:tc>
        <w:tc>
          <w:tcPr>
            <w:tcW w:w="211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脱硫灰</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1500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2356"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2356" w:type="dxa"/>
            <w:gridSpan w:val="2"/>
            <w:vAlign w:val="center"/>
          </w:tcPr>
          <w:p>
            <w:pPr>
              <w:spacing w:line="400" w:lineRule="exact"/>
              <w:jc w:val="center"/>
              <w:rPr>
                <w:rFonts w:hint="eastAsia" w:ascii="仿宋" w:hAnsi="仿宋" w:eastAsia="仿宋" w:cs="仿宋"/>
                <w:sz w:val="24"/>
                <w:szCs w:val="24"/>
                <w:highlight w:val="none"/>
              </w:rPr>
            </w:pPr>
          </w:p>
        </w:tc>
        <w:tc>
          <w:tcPr>
            <w:tcW w:w="2314"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ascii="仿宋" w:hAnsi="仿宋" w:eastAsia="仿宋"/>
                <w:sz w:val="24"/>
                <w:highlight w:val="none"/>
              </w:rPr>
            </w:pPr>
            <w:r>
              <w:rPr>
                <w:rFonts w:hint="eastAsia" w:ascii="仿宋" w:hAnsi="仿宋" w:eastAsia="仿宋"/>
                <w:sz w:val="24"/>
                <w:highlight w:val="none"/>
              </w:rPr>
              <w:t>投标单位（公章）</w:t>
            </w:r>
          </w:p>
        </w:tc>
        <w:tc>
          <w:tcPr>
            <w:tcW w:w="3963" w:type="dxa"/>
            <w:gridSpan w:val="4"/>
            <w:vAlign w:val="center"/>
          </w:tcPr>
          <w:p>
            <w:pPr>
              <w:spacing w:line="400" w:lineRule="exact"/>
              <w:rPr>
                <w:rFonts w:ascii="仿宋" w:hAnsi="仿宋" w:eastAsia="仿宋"/>
                <w:sz w:val="24"/>
                <w:highlight w:val="none"/>
              </w:rPr>
            </w:pPr>
            <w:r>
              <w:rPr>
                <w:rFonts w:hint="eastAsia" w:ascii="仿宋" w:hAnsi="仿宋" w:eastAsia="仿宋"/>
                <w:sz w:val="24"/>
                <w:highlight w:val="none"/>
              </w:rPr>
              <w:t>法定代表人或授权委托人</w:t>
            </w:r>
          </w:p>
        </w:tc>
        <w:tc>
          <w:tcPr>
            <w:tcW w:w="5945" w:type="dxa"/>
            <w:gridSpan w:val="4"/>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restart"/>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联系方式</w:t>
            </w: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电话</w:t>
            </w:r>
          </w:p>
        </w:tc>
        <w:tc>
          <w:tcPr>
            <w:tcW w:w="3615" w:type="dxa"/>
            <w:gridSpan w:val="2"/>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continue"/>
            <w:vAlign w:val="center"/>
          </w:tcPr>
          <w:p>
            <w:pPr>
              <w:spacing w:line="400" w:lineRule="exact"/>
              <w:jc w:val="center"/>
              <w:rPr>
                <w:rFonts w:ascii="仿宋" w:hAnsi="仿宋" w:eastAsia="仿宋"/>
                <w:sz w:val="24"/>
                <w:highlight w:val="none"/>
              </w:rPr>
            </w:pP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邮箱</w:t>
            </w:r>
          </w:p>
        </w:tc>
        <w:tc>
          <w:tcPr>
            <w:tcW w:w="3615" w:type="dxa"/>
            <w:gridSpan w:val="2"/>
            <w:vAlign w:val="center"/>
          </w:tcPr>
          <w:p>
            <w:pPr>
              <w:spacing w:line="400" w:lineRule="exact"/>
              <w:rPr>
                <w:rFonts w:ascii="仿宋" w:hAnsi="仿宋" w:eastAsia="仿宋"/>
                <w:sz w:val="24"/>
                <w:highlight w:val="none"/>
              </w:rPr>
            </w:pPr>
          </w:p>
        </w:tc>
      </w:tr>
    </w:tbl>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A107170"/>
    <w:multiLevelType w:val="singleLevel"/>
    <w:tmpl w:val="CA107170"/>
    <w:lvl w:ilvl="0" w:tentative="0">
      <w:start w:val="9"/>
      <w:numFmt w:val="decimal"/>
      <w:suff w:val="nothing"/>
      <w:lvlText w:val="%1、"/>
      <w:lvlJc w:val="left"/>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2A40894"/>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DB63303"/>
    <w:rsid w:val="1DE26149"/>
    <w:rsid w:val="1DEE2CCA"/>
    <w:rsid w:val="1E663650"/>
    <w:rsid w:val="1EB92EF2"/>
    <w:rsid w:val="1F17125C"/>
    <w:rsid w:val="1FAB30E7"/>
    <w:rsid w:val="2037683E"/>
    <w:rsid w:val="20637B7A"/>
    <w:rsid w:val="21115412"/>
    <w:rsid w:val="21A61884"/>
    <w:rsid w:val="221B22F9"/>
    <w:rsid w:val="221D09FC"/>
    <w:rsid w:val="22F91AE6"/>
    <w:rsid w:val="25590EC9"/>
    <w:rsid w:val="257F4BF0"/>
    <w:rsid w:val="25917440"/>
    <w:rsid w:val="25A13254"/>
    <w:rsid w:val="262F357C"/>
    <w:rsid w:val="2659211B"/>
    <w:rsid w:val="26653D1D"/>
    <w:rsid w:val="266C56F3"/>
    <w:rsid w:val="26A26CEB"/>
    <w:rsid w:val="27235E7D"/>
    <w:rsid w:val="276F4E38"/>
    <w:rsid w:val="2834446C"/>
    <w:rsid w:val="28B84042"/>
    <w:rsid w:val="299D4A4C"/>
    <w:rsid w:val="2A1902C2"/>
    <w:rsid w:val="2C6224E4"/>
    <w:rsid w:val="2C995D0F"/>
    <w:rsid w:val="2D3E7816"/>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5955AE"/>
    <w:rsid w:val="3DCC4487"/>
    <w:rsid w:val="3E474521"/>
    <w:rsid w:val="3E583AD2"/>
    <w:rsid w:val="3FD0292A"/>
    <w:rsid w:val="3FF77603"/>
    <w:rsid w:val="404F30BF"/>
    <w:rsid w:val="413C763F"/>
    <w:rsid w:val="41B14926"/>
    <w:rsid w:val="41B46B47"/>
    <w:rsid w:val="41DA5117"/>
    <w:rsid w:val="424B79E0"/>
    <w:rsid w:val="425704D3"/>
    <w:rsid w:val="42FA2D1F"/>
    <w:rsid w:val="434963F7"/>
    <w:rsid w:val="436B2C00"/>
    <w:rsid w:val="439F612A"/>
    <w:rsid w:val="441344E9"/>
    <w:rsid w:val="44842956"/>
    <w:rsid w:val="44B922E9"/>
    <w:rsid w:val="45086E27"/>
    <w:rsid w:val="465E02D2"/>
    <w:rsid w:val="48120ABB"/>
    <w:rsid w:val="48FC1957"/>
    <w:rsid w:val="499D4ACB"/>
    <w:rsid w:val="4AED5A83"/>
    <w:rsid w:val="4BC1413C"/>
    <w:rsid w:val="4C656785"/>
    <w:rsid w:val="4DFA18E0"/>
    <w:rsid w:val="4DFD24AF"/>
    <w:rsid w:val="4E822997"/>
    <w:rsid w:val="4ED20DFA"/>
    <w:rsid w:val="4F0F5DA2"/>
    <w:rsid w:val="4F397E6D"/>
    <w:rsid w:val="4FFE0E94"/>
    <w:rsid w:val="504C2BE7"/>
    <w:rsid w:val="51174B5C"/>
    <w:rsid w:val="51B50E5A"/>
    <w:rsid w:val="525C4A73"/>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921071"/>
    <w:rsid w:val="60F035C2"/>
    <w:rsid w:val="623446C7"/>
    <w:rsid w:val="633441F6"/>
    <w:rsid w:val="6352429E"/>
    <w:rsid w:val="63A94A71"/>
    <w:rsid w:val="63E45615"/>
    <w:rsid w:val="645A1DAF"/>
    <w:rsid w:val="64940258"/>
    <w:rsid w:val="64940A1E"/>
    <w:rsid w:val="69021DF3"/>
    <w:rsid w:val="698348FA"/>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4</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2024-03-13T00:13:19Z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