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庐江矿业项目-配电装置等</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435</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庐江矿业项目-配电装置等材料</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bookmarkStart w:id="0" w:name="_GoBack"/>
      <w:bookmarkEnd w:id="0"/>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9</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2024-03-20T02:19:11Z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