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spacing w:line="700" w:lineRule="exact"/>
        <w:jc w:val="center"/>
        <w:rPr>
          <w:rFonts w:hint="default"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电控</w:t>
      </w:r>
      <w:r>
        <w:rPr>
          <w:rFonts w:hint="eastAsia" w:asciiTheme="minorEastAsia" w:hAnsiTheme="minorEastAsia" w:eastAsiaTheme="minorEastAsia" w:cstheme="minorEastAsia"/>
          <w:b/>
          <w:bCs/>
          <w:sz w:val="44"/>
          <w:szCs w:val="44"/>
        </w:rPr>
        <w:t>-</w:t>
      </w:r>
      <w:r>
        <w:rPr>
          <w:rFonts w:hint="eastAsia" w:asciiTheme="minorEastAsia" w:hAnsiTheme="minorEastAsia" w:eastAsiaTheme="minorEastAsia" w:cstheme="minorEastAsia"/>
          <w:b/>
          <w:bCs/>
          <w:sz w:val="44"/>
          <w:szCs w:val="44"/>
          <w:lang w:val="en-US" w:eastAsia="zh-CN"/>
        </w:rPr>
        <w:t>金冠铜业等项目-柜体等</w:t>
      </w:r>
    </w:p>
    <w:p>
      <w:pPr>
        <w:pStyle w:val="2"/>
        <w:rPr>
          <w:rFonts w:hint="eastAsia"/>
          <w:lang w:val="en-US" w:eastAsia="zh-CN"/>
        </w:rPr>
      </w:pPr>
    </w:p>
    <w:p>
      <w:pPr>
        <w:pStyle w:val="2"/>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438</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pPr>
        <w:spacing w:line="360" w:lineRule="auto"/>
        <w:rPr>
          <w:rFonts w:hint="eastAsia" w:ascii="仿宋" w:hAnsi="仿宋" w:eastAsia="仿宋" w:cs="仿宋"/>
          <w:b/>
          <w:sz w:val="24"/>
          <w:szCs w:val="24"/>
        </w:rPr>
      </w:pPr>
    </w:p>
    <w:p>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28</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电控</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金冠铜业等项目-柜体</w:t>
      </w:r>
      <w:bookmarkStart w:id="0" w:name="_GoBack"/>
      <w:bookmarkEnd w:id="0"/>
      <w:r>
        <w:rPr>
          <w:rFonts w:hint="eastAsia" w:ascii="仿宋" w:hAnsi="仿宋" w:eastAsia="仿宋" w:cs="仿宋"/>
          <w:sz w:val="24"/>
          <w:szCs w:val="24"/>
          <w:u w:val="single"/>
          <w:lang w:val="en-US" w:eastAsia="zh-CN"/>
        </w:rPr>
        <w:t>等材料</w:t>
      </w:r>
      <w:r>
        <w:rPr>
          <w:rFonts w:hint="eastAsia" w:ascii="仿宋" w:hAnsi="仿宋" w:eastAsia="仿宋" w:cs="仿宋"/>
          <w:sz w:val="24"/>
          <w:szCs w:val="24"/>
          <w:u w:val="single"/>
        </w:rPr>
        <w:t>。</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27</w:t>
      </w:r>
      <w:r>
        <w:rPr>
          <w:rFonts w:hint="eastAsia" w:ascii="仿宋" w:hAnsi="仿宋" w:eastAsia="仿宋" w:cs="仿宋"/>
          <w:sz w:val="24"/>
          <w:szCs w:val="24"/>
          <w:u w:val="single"/>
        </w:rPr>
        <w:t>日17:</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28</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E75026"/>
    <w:rsid w:val="05103A0B"/>
    <w:rsid w:val="05BF33B5"/>
    <w:rsid w:val="084A3F14"/>
    <w:rsid w:val="085D3EDC"/>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22F7967"/>
    <w:rsid w:val="125E4C7B"/>
    <w:rsid w:val="12A820AD"/>
    <w:rsid w:val="1500314F"/>
    <w:rsid w:val="152167FC"/>
    <w:rsid w:val="178D16D0"/>
    <w:rsid w:val="17D86D23"/>
    <w:rsid w:val="1830291B"/>
    <w:rsid w:val="187417C5"/>
    <w:rsid w:val="18AF15FD"/>
    <w:rsid w:val="198C1092"/>
    <w:rsid w:val="19CA6206"/>
    <w:rsid w:val="1B7B6D63"/>
    <w:rsid w:val="1B824B70"/>
    <w:rsid w:val="1BBF797C"/>
    <w:rsid w:val="1C602FB9"/>
    <w:rsid w:val="1D406E8A"/>
    <w:rsid w:val="1D9E30BC"/>
    <w:rsid w:val="1DEE2CCA"/>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C64541C"/>
    <w:rsid w:val="2C995D0F"/>
    <w:rsid w:val="2D3E7816"/>
    <w:rsid w:val="2D86574D"/>
    <w:rsid w:val="2F29557C"/>
    <w:rsid w:val="30131353"/>
    <w:rsid w:val="30293393"/>
    <w:rsid w:val="30D974B7"/>
    <w:rsid w:val="30E96026"/>
    <w:rsid w:val="311F3E7F"/>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A3173ED"/>
    <w:rsid w:val="3A4E69FC"/>
    <w:rsid w:val="3B076549"/>
    <w:rsid w:val="3B645DB3"/>
    <w:rsid w:val="3B9B786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6F64C5"/>
    <w:rsid w:val="5ED81A2D"/>
    <w:rsid w:val="601B5879"/>
    <w:rsid w:val="60F035C2"/>
    <w:rsid w:val="610267D6"/>
    <w:rsid w:val="616C0C8E"/>
    <w:rsid w:val="626C4E3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2716</Words>
  <Characters>3018</Characters>
  <Lines>56</Lines>
  <Paragraphs>15</Paragraphs>
  <TotalTime>23</TotalTime>
  <ScaleCrop>false</ScaleCrop>
  <LinksUpToDate>false</LinksUpToDate>
  <CharactersWithSpaces>3098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2024-03-20T02:46:37Z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F19D08C2DD054226A70AD001185DAF6A</vt:lpwstr>
  </property>
</Properties>
</file>