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第一、二事业部卫生洁具</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-42-2</w:t>
      </w:r>
      <w:bookmarkStart w:id="0" w:name="_GoBack"/>
      <w:bookmarkEnd w:id="0"/>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2包</w:t>
      </w:r>
      <w:r>
        <w:rPr>
          <w:rFonts w:hint="eastAsia" w:ascii="仿宋" w:hAnsi="仿宋" w:eastAsia="仿宋" w:cs="仿宋_GB2312"/>
          <w:b/>
          <w:color w:val="000000"/>
          <w:sz w:val="24"/>
          <w:highlight w:val="none"/>
          <w:u w:val="single"/>
          <w:lang w:val="en-US" w:eastAsia="zh-CN"/>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3包壹</w:t>
      </w:r>
      <w:r>
        <w:rPr>
          <w:rFonts w:hint="eastAsia" w:ascii="仿宋" w:hAnsi="仿宋" w:eastAsia="仿宋" w:cs="仿宋_GB2312"/>
          <w:b/>
          <w:color w:val="000000"/>
          <w:sz w:val="24"/>
          <w:highlight w:val="none"/>
          <w:u w:val="single"/>
          <w:lang w:val="en-US" w:eastAsia="zh-CN"/>
        </w:rPr>
        <w:t>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公司第一、二事业部卫生洁具</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42-2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hint="eastAsia" w:ascii="仿宋" w:hAnsi="仿宋" w:eastAsia="仿宋" w:cs="仿宋_GB2312"/>
          <w:sz w:val="24"/>
          <w:highlight w:val="none"/>
          <w:lang w:eastAsia="zh-CN"/>
        </w:rPr>
      </w:pPr>
      <w:r>
        <w:rPr>
          <w:rFonts w:hint="eastAsia" w:ascii="仿宋" w:hAnsi="仿宋" w:eastAsia="仿宋" w:cs="仿宋_GB2312"/>
          <w:sz w:val="24"/>
          <w:highlight w:val="none"/>
          <w:lang w:val="en-US" w:eastAsia="zh-CN"/>
        </w:rPr>
        <w:t>2包</w:t>
      </w: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第二事业部铜基项目现场；</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lang w:val="en-US" w:eastAsia="zh-CN"/>
        </w:rPr>
        <w:t>3包</w:t>
      </w: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第一事业部铜基项目现场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szCs w:val="24"/>
        </w:rPr>
        <w:t>供</w:t>
      </w:r>
    </w:p>
    <w:p>
      <w:pPr>
        <w:numPr>
          <w:ilvl w:val="0"/>
          <w:numId w:val="0"/>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val="en-US" w:eastAsia="zh-CN"/>
        </w:rPr>
        <w:t>6</w:t>
      </w: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2"/>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2"/>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42-2</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3950"/>
        <w:gridCol w:w="825"/>
        <w:gridCol w:w="1000"/>
        <w:gridCol w:w="1588"/>
        <w:gridCol w:w="1512"/>
        <w:gridCol w:w="843"/>
        <w:gridCol w:w="95"/>
        <w:gridCol w:w="153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3950"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82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000"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58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51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938"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53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198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蹲便器</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尺寸：L600*W450*H256mm，进水排水方式：后进前排，带存水弯，颜色：洁白。含配套脚踩阀，冲洗管。</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坐便器(无障碍厕位)</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L712*W375*H707mm，坑距400mm。</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需要选样，包安装，含所有给排水配件，配6套无障碍坐便器扶手，具体要求依据图集16J914-1XT3，品牌要求：箭牌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感应式挂便器（小便器）</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尺寸：D365*W345*H745mm,进水方式：上进水/后进水，排水方式：墙排水，安装方式：壁挂式，颜色：洁白。含小便斗感应器（分体式）等全套配件。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17</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需要选样，配5套无障碍小便器抓杆，具体要求依据图集12J926-J12，品牌要求：箭牌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台下盆</w:t>
            </w:r>
          </w:p>
        </w:tc>
        <w:tc>
          <w:tcPr>
            <w:tcW w:w="395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尺寸：L580*W420*H198mm,实际容量：13L，安装方式：台下安装，颜色：洁白。含水龙头、下水，三角阀、钢丝管等配件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含台下盆、水龙头、下水、三角阀等安装配件，现场复核尺寸，中标后需提供样品，包安装。颜色样式参照图九。品牌要求：箭牌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58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拖把池</w:t>
            </w:r>
          </w:p>
        </w:tc>
        <w:tc>
          <w:tcPr>
            <w:tcW w:w="39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尺寸：L435*W355*H610，含水龙头、下水，三角阀、钢丝管等配件。</w:t>
            </w:r>
          </w:p>
        </w:tc>
        <w:tc>
          <w:tcPr>
            <w:tcW w:w="82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0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需要选样，含水龙头、下水，三角阀、钢丝管等配件。品牌要求：箭牌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8950" w:type="dxa"/>
            <w:gridSpan w:val="5"/>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7"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88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100"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4458"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885" w:type="dxa"/>
            <w:gridSpan w:val="5"/>
            <w:vMerge w:val="continue"/>
            <w:vAlign w:val="center"/>
          </w:tcPr>
          <w:p>
            <w:pPr>
              <w:spacing w:line="400" w:lineRule="exact"/>
              <w:rPr>
                <w:rFonts w:ascii="仿宋" w:hAnsi="仿宋" w:eastAsia="仿宋"/>
                <w:sz w:val="24"/>
                <w:highlight w:val="none"/>
              </w:rPr>
            </w:pPr>
          </w:p>
        </w:tc>
        <w:tc>
          <w:tcPr>
            <w:tcW w:w="3100"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3"/>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885" w:type="dxa"/>
            <w:gridSpan w:val="5"/>
            <w:vMerge w:val="continue"/>
            <w:vAlign w:val="center"/>
          </w:tcPr>
          <w:p>
            <w:pPr>
              <w:spacing w:line="400" w:lineRule="exact"/>
              <w:rPr>
                <w:rFonts w:ascii="仿宋" w:hAnsi="仿宋" w:eastAsia="仿宋"/>
                <w:sz w:val="24"/>
                <w:highlight w:val="none"/>
              </w:rPr>
            </w:pPr>
          </w:p>
        </w:tc>
        <w:tc>
          <w:tcPr>
            <w:tcW w:w="3100" w:type="dxa"/>
            <w:gridSpan w:val="2"/>
            <w:vMerge w:val="continue"/>
            <w:vAlign w:val="center"/>
          </w:tcPr>
          <w:p>
            <w:pPr>
              <w:spacing w:line="400" w:lineRule="exact"/>
              <w:jc w:val="center"/>
              <w:rPr>
                <w:rFonts w:ascii="仿宋" w:hAnsi="仿宋" w:eastAsia="仿宋"/>
                <w:sz w:val="24"/>
                <w:highlight w:val="none"/>
              </w:rPr>
            </w:pP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3"/>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3包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42-2</w:t>
      </w:r>
      <w:r>
        <w:rPr>
          <w:rFonts w:hint="eastAsia" w:ascii="仿宋" w:hAnsi="仿宋" w:eastAsia="仿宋"/>
          <w:b/>
          <w:sz w:val="28"/>
          <w:szCs w:val="28"/>
          <w:highlight w:val="none"/>
        </w:rPr>
        <w:t>）：</w:t>
      </w:r>
    </w:p>
    <w:tbl>
      <w:tblPr>
        <w:tblStyle w:val="46"/>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3949"/>
        <w:gridCol w:w="825"/>
        <w:gridCol w:w="999"/>
        <w:gridCol w:w="1588"/>
        <w:gridCol w:w="1512"/>
        <w:gridCol w:w="843"/>
        <w:gridCol w:w="95"/>
        <w:gridCol w:w="153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87"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物料名称</w:t>
            </w:r>
          </w:p>
        </w:tc>
        <w:tc>
          <w:tcPr>
            <w:tcW w:w="3949"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型号规格</w:t>
            </w:r>
          </w:p>
        </w:tc>
        <w:tc>
          <w:tcPr>
            <w:tcW w:w="825"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999"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588"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含税含运费单价</w:t>
            </w:r>
            <w:r>
              <w:rPr>
                <w:rFonts w:hint="eastAsia" w:ascii="仿宋" w:hAnsi="仿宋" w:eastAsia="仿宋" w:cs="仿宋"/>
                <w:color w:val="FF0000"/>
                <w:sz w:val="24"/>
                <w:szCs w:val="24"/>
                <w:highlight w:val="none"/>
              </w:rPr>
              <w:t>*</w:t>
            </w:r>
          </w:p>
        </w:tc>
        <w:tc>
          <w:tcPr>
            <w:tcW w:w="1512"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含税含运费</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r>
              <w:rPr>
                <w:rFonts w:hint="eastAsia" w:ascii="仿宋" w:hAnsi="仿宋" w:eastAsia="仿宋" w:cs="仿宋"/>
                <w:color w:val="FF0000"/>
                <w:sz w:val="24"/>
                <w:szCs w:val="24"/>
                <w:highlight w:val="none"/>
              </w:rPr>
              <w:t>*</w:t>
            </w:r>
          </w:p>
        </w:tc>
        <w:tc>
          <w:tcPr>
            <w:tcW w:w="938"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税率</w:t>
            </w:r>
            <w:r>
              <w:rPr>
                <w:rFonts w:hint="eastAsia" w:ascii="仿宋" w:hAnsi="仿宋" w:eastAsia="仿宋" w:cs="仿宋"/>
                <w:color w:val="FF0000"/>
                <w:sz w:val="24"/>
                <w:szCs w:val="24"/>
                <w:highlight w:val="none"/>
              </w:rPr>
              <w:t>*</w:t>
            </w:r>
          </w:p>
        </w:tc>
        <w:tc>
          <w:tcPr>
            <w:tcW w:w="1536"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是否为增值税专用发票</w:t>
            </w:r>
            <w:r>
              <w:rPr>
                <w:rFonts w:hint="eastAsia" w:ascii="仿宋" w:hAnsi="仿宋" w:eastAsia="仿宋" w:cs="仿宋"/>
                <w:color w:val="FF0000"/>
                <w:sz w:val="24"/>
                <w:szCs w:val="24"/>
                <w:highlight w:val="none"/>
              </w:rPr>
              <w:t>*</w:t>
            </w:r>
          </w:p>
        </w:tc>
        <w:tc>
          <w:tcPr>
            <w:tcW w:w="198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蹲便器</w:t>
            </w:r>
          </w:p>
        </w:tc>
        <w:tc>
          <w:tcPr>
            <w:tcW w:w="394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尺寸：L600*W450*H256mm，进水排水方式：后进前排，带存水弯，颜色：洁白。含配套脚踩阀，冲洗管。</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9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12</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单台盆洗手台</w:t>
            </w:r>
          </w:p>
        </w:tc>
        <w:tc>
          <w:tcPr>
            <w:tcW w:w="394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L800*W600*H850</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9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523" w:type="dxa"/>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感应式挂便器（小便器）</w:t>
            </w:r>
          </w:p>
        </w:tc>
        <w:tc>
          <w:tcPr>
            <w:tcW w:w="394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尺寸：D365*W345*H745mm,进水方式：上进水/后进水，排水方式：墙排水，安装方式：壁挂式，颜色：洁白。含小便斗感应器（分体式）等全套配件。</w:t>
            </w:r>
          </w:p>
        </w:tc>
        <w:tc>
          <w:tcPr>
            <w:tcW w:w="825"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套</w:t>
            </w:r>
          </w:p>
        </w:tc>
        <w:tc>
          <w:tcPr>
            <w:tcW w:w="999"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w:t>
            </w:r>
          </w:p>
        </w:tc>
        <w:tc>
          <w:tcPr>
            <w:tcW w:w="1588" w:type="dxa"/>
            <w:vAlign w:val="center"/>
          </w:tcPr>
          <w:p>
            <w:pPr>
              <w:spacing w:line="400" w:lineRule="exact"/>
              <w:jc w:val="center"/>
              <w:rPr>
                <w:rFonts w:hint="eastAsia" w:ascii="仿宋" w:hAnsi="仿宋" w:eastAsia="仿宋" w:cs="仿宋"/>
                <w:sz w:val="24"/>
                <w:szCs w:val="24"/>
                <w:highlight w:val="none"/>
              </w:rPr>
            </w:pP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8948" w:type="dxa"/>
            <w:gridSpan w:val="5"/>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12" w:type="dxa"/>
            <w:vAlign w:val="center"/>
          </w:tcPr>
          <w:p>
            <w:pPr>
              <w:spacing w:line="400" w:lineRule="exact"/>
              <w:jc w:val="center"/>
              <w:rPr>
                <w:rFonts w:hint="eastAsia" w:ascii="仿宋" w:hAnsi="仿宋" w:eastAsia="仿宋" w:cs="仿宋"/>
                <w:sz w:val="24"/>
                <w:szCs w:val="24"/>
                <w:highlight w:val="none"/>
              </w:rPr>
            </w:pPr>
          </w:p>
        </w:tc>
        <w:tc>
          <w:tcPr>
            <w:tcW w:w="938" w:type="dxa"/>
            <w:gridSpan w:val="2"/>
            <w:vAlign w:val="center"/>
          </w:tcPr>
          <w:p>
            <w:pPr>
              <w:spacing w:line="400" w:lineRule="exact"/>
              <w:jc w:val="center"/>
              <w:rPr>
                <w:rFonts w:hint="eastAsia" w:ascii="仿宋" w:hAnsi="仿宋" w:eastAsia="仿宋" w:cs="仿宋"/>
                <w:sz w:val="24"/>
                <w:szCs w:val="24"/>
                <w:highlight w:val="none"/>
              </w:rPr>
            </w:pPr>
          </w:p>
        </w:tc>
        <w:tc>
          <w:tcPr>
            <w:tcW w:w="1536" w:type="dxa"/>
            <w:vAlign w:val="center"/>
          </w:tcPr>
          <w:p>
            <w:pPr>
              <w:spacing w:line="400" w:lineRule="exact"/>
              <w:jc w:val="center"/>
              <w:rPr>
                <w:rFonts w:hint="eastAsia" w:ascii="仿宋" w:hAnsi="仿宋" w:eastAsia="仿宋" w:cs="仿宋"/>
                <w:sz w:val="24"/>
                <w:szCs w:val="24"/>
                <w:highlight w:val="none"/>
              </w:rPr>
            </w:pPr>
          </w:p>
        </w:tc>
        <w:tc>
          <w:tcPr>
            <w:tcW w:w="1983"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440"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883"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100"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4457"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883" w:type="dxa"/>
            <w:gridSpan w:val="5"/>
            <w:vMerge w:val="continue"/>
            <w:vAlign w:val="center"/>
          </w:tcPr>
          <w:p>
            <w:pPr>
              <w:spacing w:line="400" w:lineRule="exact"/>
              <w:rPr>
                <w:rFonts w:ascii="仿宋" w:hAnsi="仿宋" w:eastAsia="仿宋"/>
                <w:sz w:val="24"/>
                <w:highlight w:val="none"/>
              </w:rPr>
            </w:pPr>
          </w:p>
        </w:tc>
        <w:tc>
          <w:tcPr>
            <w:tcW w:w="3100"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4" w:type="dxa"/>
            <w:gridSpan w:val="3"/>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83" w:type="dxa"/>
            <w:gridSpan w:val="5"/>
            <w:vMerge w:val="continue"/>
            <w:vAlign w:val="center"/>
          </w:tcPr>
          <w:p>
            <w:pPr>
              <w:spacing w:line="400" w:lineRule="exact"/>
              <w:rPr>
                <w:rFonts w:ascii="仿宋" w:hAnsi="仿宋" w:eastAsia="仿宋"/>
                <w:sz w:val="24"/>
                <w:highlight w:val="none"/>
              </w:rPr>
            </w:pPr>
          </w:p>
        </w:tc>
        <w:tc>
          <w:tcPr>
            <w:tcW w:w="3100" w:type="dxa"/>
            <w:gridSpan w:val="2"/>
            <w:vMerge w:val="continue"/>
            <w:vAlign w:val="center"/>
          </w:tcPr>
          <w:p>
            <w:pPr>
              <w:spacing w:line="400" w:lineRule="exact"/>
              <w:jc w:val="center"/>
              <w:rPr>
                <w:rFonts w:ascii="仿宋" w:hAnsi="仿宋" w:eastAsia="仿宋"/>
                <w:sz w:val="24"/>
                <w:highlight w:val="none"/>
              </w:rPr>
            </w:pPr>
          </w:p>
        </w:tc>
        <w:tc>
          <w:tcPr>
            <w:tcW w:w="84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4" w:type="dxa"/>
            <w:gridSpan w:val="3"/>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7B3A1B"/>
    <w:rsid w:val="13945E07"/>
    <w:rsid w:val="15737884"/>
    <w:rsid w:val="15750C31"/>
    <w:rsid w:val="16584267"/>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864C3F"/>
    <w:rsid w:val="299D4A4C"/>
    <w:rsid w:val="2A1902C2"/>
    <w:rsid w:val="2C6224E4"/>
    <w:rsid w:val="2C995D0F"/>
    <w:rsid w:val="2D111BE9"/>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8E37C3"/>
    <w:rsid w:val="439F612A"/>
    <w:rsid w:val="441344E9"/>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A519E"/>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5FFC7D83"/>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8"/>
    <w:qFormat/>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autoRedefine/>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autoRedefine/>
    <w:qFormat/>
    <w:uiPriority w:val="0"/>
  </w:style>
  <w:style w:type="character" w:styleId="51">
    <w:name w:val="FollowedHyperlink"/>
    <w:autoRedefine/>
    <w:qFormat/>
    <w:uiPriority w:val="0"/>
    <w:rPr>
      <w:color w:val="000000"/>
      <w:u w:val="none"/>
    </w:rPr>
  </w:style>
  <w:style w:type="character" w:styleId="52">
    <w:name w:val="Emphasis"/>
    <w:qFormat/>
    <w:uiPriority w:val="0"/>
    <w:rPr>
      <w:i/>
      <w:iCs/>
    </w:rPr>
  </w:style>
  <w:style w:type="character" w:styleId="53">
    <w:name w:val="Hyperlink"/>
    <w:autoRedefine/>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3"/>
    <w:basedOn w:val="4"/>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qFormat/>
    <w:uiPriority w:val="0"/>
  </w:style>
  <w:style w:type="paragraph" w:customStyle="1" w:styleId="87">
    <w:name w:val="A3"/>
    <w:basedOn w:val="64"/>
    <w:autoRedefine/>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5"/>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autoRedefine/>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autoRedefine/>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autoRedefine/>
    <w:qFormat/>
    <w:uiPriority w:val="0"/>
    <w:rPr>
      <w:rFonts w:ascii="Courier New" w:hAnsi="Courier New" w:eastAsia="宋体"/>
      <w:kern w:val="2"/>
      <w:sz w:val="21"/>
      <w:lang w:val="en-US" w:eastAsia="zh-CN" w:bidi="ar-SA"/>
    </w:rPr>
  </w:style>
  <w:style w:type="character" w:customStyle="1" w:styleId="132">
    <w:name w:val="页眉 Char"/>
    <w:link w:val="31"/>
    <w:autoRedefine/>
    <w:qFormat/>
    <w:uiPriority w:val="0"/>
    <w:rPr>
      <w:rFonts w:eastAsia="宋体"/>
      <w:kern w:val="2"/>
      <w:sz w:val="18"/>
      <w:szCs w:val="18"/>
      <w:lang w:val="en-US" w:eastAsia="zh-CN" w:bidi="ar-SA"/>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autoRedefine/>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autoRedefine/>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autoRedefine/>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autoRedefine/>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autoRedefine/>
    <w:qFormat/>
    <w:uiPriority w:val="0"/>
    <w:rPr>
      <w:rFonts w:ascii="Arial" w:hAnsi="Arial" w:eastAsia="黑体"/>
      <w:b/>
      <w:bCs/>
      <w:sz w:val="24"/>
      <w:szCs w:val="24"/>
      <w:lang w:val="en-US" w:eastAsia="zh-CN" w:bidi="ar-SA"/>
    </w:rPr>
  </w:style>
  <w:style w:type="character" w:customStyle="1" w:styleId="146">
    <w:name w:val="标题 2 Char"/>
    <w:link w:val="3"/>
    <w:autoRedefine/>
    <w:qFormat/>
    <w:uiPriority w:val="0"/>
    <w:rPr>
      <w:rFonts w:ascii="Arial" w:hAnsi="Arial" w:eastAsia="黑体"/>
      <w:b/>
      <w:bCs/>
      <w:kern w:val="2"/>
      <w:sz w:val="32"/>
      <w:szCs w:val="32"/>
      <w:lang w:val="en-US" w:eastAsia="zh-CN" w:bidi="ar-SA"/>
    </w:rPr>
  </w:style>
  <w:style w:type="character" w:customStyle="1" w:styleId="147">
    <w:name w:val="页脚 Char Char"/>
    <w:autoRedefine/>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autoRedefine/>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715</Words>
  <Characters>4077</Characters>
  <Lines>33</Lines>
  <Paragraphs>9</Paragraphs>
  <TotalTime>1</TotalTime>
  <ScaleCrop>false</ScaleCrop>
  <LinksUpToDate>false</LinksUpToDate>
  <CharactersWithSpaces>4783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2024-05-11T07:29:07Z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