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第一事业部赤峰金通项目砖砂水泥</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65</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1包</w:t>
      </w:r>
      <w:r>
        <w:rPr>
          <w:rFonts w:hint="eastAsia" w:ascii="仿宋" w:hAnsi="仿宋" w:eastAsia="仿宋" w:cs="仿宋_GB2312"/>
          <w:b/>
          <w:color w:val="000000"/>
          <w:sz w:val="24"/>
          <w:highlight w:val="none"/>
          <w:u w:val="single"/>
          <w:lang w:eastAsia="zh-CN"/>
        </w:rPr>
        <w:t>壹万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2包叁仟元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b/>
          <w:bCs/>
          <w:color w:val="000000"/>
          <w:sz w:val="24"/>
          <w:highlight w:val="none"/>
          <w:u w:val="single"/>
          <w:lang w:val="en-US" w:eastAsia="zh-CN"/>
        </w:rPr>
        <w:t>3包壹仟元</w:t>
      </w:r>
      <w:r>
        <w:rPr>
          <w:rFonts w:hint="eastAsia" w:ascii="仿宋" w:hAnsi="仿宋" w:eastAsia="仿宋" w:cs="仿宋_GB2312"/>
          <w:b/>
          <w:bCs/>
          <w:color w:val="000000"/>
          <w:sz w:val="24"/>
          <w:highlight w:val="none"/>
          <w:u w:val="single"/>
        </w:rPr>
        <w:t>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公司第一事业部赤峰金通项目砖砂水泥</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65</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5</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第一事业部赤峰金通项目电解现场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szCs w:val="24"/>
          <w:u w:val="single"/>
          <w14:textFill>
            <w14:solidFill>
              <w14:schemeClr w14:val="tx1"/>
            </w14:solidFill>
          </w14:textFill>
        </w:rPr>
        <w:t>合同签订后，</w:t>
      </w:r>
      <w:r>
        <w:rPr>
          <w:rFonts w:hint="eastAsia" w:ascii="仿宋" w:hAnsi="仿宋" w:eastAsia="仿宋" w:cs="仿宋"/>
          <w:color w:val="000000" w:themeColor="text1"/>
          <w:sz w:val="24"/>
          <w:szCs w:val="24"/>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szCs w:val="24"/>
          <w:u w:val="single"/>
          <w:shd w:val="clear" w:color="auto" w:fill="FFFFFF"/>
        </w:rPr>
        <w:t>货款以对公转账方式支付至供方对公账户，支付电汇或不超过发票总金额50%的6个月内电子承兑。</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1包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烧结普通砖</w:t>
            </w:r>
          </w:p>
        </w:tc>
        <w:tc>
          <w:tcPr>
            <w:tcW w:w="22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240mm*115mm*53mm</w:t>
            </w:r>
          </w:p>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MU20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万块</w:t>
            </w:r>
          </w:p>
        </w:tc>
        <w:tc>
          <w:tcPr>
            <w:tcW w:w="989"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10</w:t>
            </w:r>
            <w:r>
              <w:rPr>
                <w:rFonts w:hint="eastAsia" w:ascii="宋体" w:hAnsi="宋体" w:eastAsia="宋体" w:cs="宋体"/>
                <w:i w:val="0"/>
                <w:color w:val="000000"/>
                <w:kern w:val="0"/>
                <w:sz w:val="22"/>
                <w:szCs w:val="22"/>
                <w:u w:val="none"/>
                <w:lang w:val="en-US" w:eastAsia="zh-CN" w:bidi="ar"/>
              </w:rPr>
              <w:t xml:space="preserve">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2112"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烧结多孔砖</w:t>
            </w:r>
          </w:p>
        </w:tc>
        <w:tc>
          <w:tcPr>
            <w:tcW w:w="22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240mm*115mm*90mm</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MU10</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万块</w:t>
            </w:r>
          </w:p>
        </w:tc>
        <w:tc>
          <w:tcPr>
            <w:tcW w:w="989" w:type="dxa"/>
            <w:vAlign w:val="center"/>
          </w:tcPr>
          <w:p>
            <w:pPr>
              <w:keepNext w:val="0"/>
              <w:keepLines w:val="0"/>
              <w:widowControl/>
              <w:suppressLineNumbers w:val="0"/>
              <w:jc w:val="center"/>
              <w:textAlignment w:val="center"/>
              <w:rPr>
                <w:rFonts w:hint="default" w:ascii="仿宋" w:hAnsi="仿宋" w:eastAsia="仿宋" w:cs="仿宋"/>
                <w:i w:val="0"/>
                <w:color w:val="000000"/>
                <w:kern w:val="0"/>
                <w:sz w:val="24"/>
                <w:szCs w:val="24"/>
                <w:u w:val="none"/>
                <w:lang w:val="en-US" w:eastAsia="zh-CN" w:bidi="ar"/>
              </w:rPr>
            </w:pPr>
            <w:r>
              <w:rPr>
                <w:rFonts w:hint="eastAsia" w:ascii="宋体" w:hAnsi="宋体" w:cs="宋体"/>
                <w:i w:val="0"/>
                <w:color w:val="000000"/>
                <w:kern w:val="0"/>
                <w:sz w:val="22"/>
                <w:szCs w:val="22"/>
                <w:u w:val="none"/>
                <w:lang w:val="en-US" w:eastAsia="zh-CN" w:bidi="ar"/>
              </w:rPr>
              <w:t>75</w:t>
            </w:r>
            <w:r>
              <w:rPr>
                <w:rFonts w:hint="eastAsia" w:ascii="宋体" w:hAnsi="宋体" w:eastAsia="宋体" w:cs="宋体"/>
                <w:i w:val="0"/>
                <w:color w:val="000000"/>
                <w:kern w:val="0"/>
                <w:sz w:val="22"/>
                <w:szCs w:val="22"/>
                <w:u w:val="none"/>
                <w:lang w:val="en-US" w:eastAsia="zh-CN" w:bidi="ar"/>
              </w:rPr>
              <w:t xml:space="preserve"> </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both"/>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2包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中粗砂</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1900</w:t>
            </w:r>
          </w:p>
        </w:tc>
        <w:tc>
          <w:tcPr>
            <w:tcW w:w="1293" w:type="dxa"/>
            <w:vAlign w:val="center"/>
          </w:tcPr>
          <w:p>
            <w:pPr>
              <w:spacing w:line="400" w:lineRule="exact"/>
              <w:jc w:val="center"/>
              <w:rPr>
                <w:rFonts w:hint="eastAsia" w:ascii="仿宋" w:hAnsi="仿宋" w:eastAsia="仿宋" w:cs="仿宋"/>
                <w:color w:val="auto"/>
                <w:sz w:val="24"/>
                <w:szCs w:val="24"/>
                <w:highlight w:val="none"/>
              </w:rPr>
            </w:pPr>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lang w:val="en-US" w:eastAsia="zh-CN"/>
        </w:rPr>
        <w:t>3包</w:t>
      </w: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65</w:t>
      </w:r>
      <w:r>
        <w:rPr>
          <w:rFonts w:hint="eastAsia" w:ascii="仿宋" w:hAnsi="仿宋" w:eastAsia="仿宋"/>
          <w:b/>
          <w:sz w:val="28"/>
          <w:szCs w:val="28"/>
          <w:highlight w:val="none"/>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2"/>
        <w:gridCol w:w="2250"/>
        <w:gridCol w:w="650"/>
        <w:gridCol w:w="263"/>
        <w:gridCol w:w="989"/>
        <w:gridCol w:w="1293"/>
        <w:gridCol w:w="1418"/>
        <w:gridCol w:w="1275"/>
        <w:gridCol w:w="1055"/>
        <w:gridCol w:w="695"/>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2"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25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98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3"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41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27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20"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eastAsia="宋体" w:cs="宋体"/>
                <w:i w:val="0"/>
                <w:color w:val="000000"/>
                <w:kern w:val="0"/>
                <w:sz w:val="24"/>
                <w:szCs w:val="24"/>
                <w:u w:val="none"/>
                <w:lang w:val="en-US" w:eastAsia="zh-CN" w:bidi="ar"/>
              </w:rPr>
              <w:t>1</w:t>
            </w:r>
          </w:p>
        </w:tc>
        <w:tc>
          <w:tcPr>
            <w:tcW w:w="2112"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水泥</w:t>
            </w:r>
          </w:p>
        </w:tc>
        <w:tc>
          <w:tcPr>
            <w:tcW w:w="225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P.S.A 32.5</w:t>
            </w:r>
          </w:p>
        </w:tc>
        <w:tc>
          <w:tcPr>
            <w:tcW w:w="913"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宋体" w:hAnsi="宋体" w:cs="宋体"/>
                <w:i w:val="0"/>
                <w:color w:val="000000"/>
                <w:kern w:val="0"/>
                <w:sz w:val="24"/>
                <w:szCs w:val="24"/>
                <w:u w:val="none"/>
                <w:lang w:val="en-US" w:eastAsia="zh-CN" w:bidi="ar"/>
              </w:rPr>
              <w:t>吨</w:t>
            </w:r>
          </w:p>
        </w:tc>
        <w:tc>
          <w:tcPr>
            <w:tcW w:w="989" w:type="dxa"/>
            <w:vAlign w:val="center"/>
          </w:tcPr>
          <w:p>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宋体" w:hAnsi="宋体" w:cs="宋体"/>
                <w:i w:val="0"/>
                <w:color w:val="000000"/>
                <w:kern w:val="0"/>
                <w:sz w:val="22"/>
                <w:szCs w:val="22"/>
                <w:u w:val="none"/>
                <w:lang w:val="en-US" w:eastAsia="zh-CN" w:bidi="ar"/>
              </w:rPr>
              <w:t>270</w:t>
            </w:r>
          </w:p>
        </w:tc>
        <w:tc>
          <w:tcPr>
            <w:tcW w:w="1293" w:type="dxa"/>
            <w:vAlign w:val="center"/>
          </w:tcPr>
          <w:p>
            <w:pPr>
              <w:spacing w:line="400" w:lineRule="exact"/>
              <w:jc w:val="center"/>
              <w:rPr>
                <w:rFonts w:hint="eastAsia" w:ascii="仿宋" w:hAnsi="仿宋" w:eastAsia="仿宋" w:cs="仿宋"/>
                <w:color w:val="auto"/>
                <w:sz w:val="24"/>
                <w:szCs w:val="24"/>
                <w:highlight w:val="none"/>
              </w:rPr>
            </w:pPr>
            <w:bookmarkStart w:id="0" w:name="_GoBack"/>
            <w:bookmarkEnd w:id="0"/>
          </w:p>
        </w:tc>
        <w:tc>
          <w:tcPr>
            <w:tcW w:w="1418" w:type="dxa"/>
            <w:vAlign w:val="center"/>
          </w:tcPr>
          <w:p>
            <w:pPr>
              <w:spacing w:line="400" w:lineRule="exact"/>
              <w:jc w:val="center"/>
              <w:rPr>
                <w:rFonts w:hint="eastAsia" w:ascii="仿宋" w:hAnsi="仿宋" w:eastAsia="仿宋" w:cs="仿宋"/>
                <w:color w:val="auto"/>
                <w:sz w:val="24"/>
                <w:szCs w:val="24"/>
                <w:highlight w:val="none"/>
              </w:rPr>
            </w:pPr>
          </w:p>
        </w:tc>
        <w:tc>
          <w:tcPr>
            <w:tcW w:w="1275"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20"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cs="仿宋"/>
                <w:sz w:val="24"/>
                <w:szCs w:val="24"/>
                <w:highlight w:val="none"/>
              </w:rPr>
            </w:pPr>
          </w:p>
        </w:tc>
        <w:tc>
          <w:tcPr>
            <w:tcW w:w="7557"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418" w:type="dxa"/>
            <w:vAlign w:val="center"/>
          </w:tcPr>
          <w:p>
            <w:pPr>
              <w:spacing w:line="400" w:lineRule="exact"/>
              <w:jc w:val="center"/>
              <w:rPr>
                <w:rFonts w:hint="eastAsia" w:ascii="仿宋" w:hAnsi="仿宋" w:eastAsia="仿宋" w:cs="仿宋"/>
                <w:sz w:val="24"/>
                <w:szCs w:val="24"/>
                <w:highlight w:val="none"/>
              </w:rPr>
            </w:pPr>
          </w:p>
        </w:tc>
        <w:tc>
          <w:tcPr>
            <w:tcW w:w="1275" w:type="dxa"/>
            <w:vAlign w:val="center"/>
          </w:tcPr>
          <w:p>
            <w:pPr>
              <w:spacing w:line="400" w:lineRule="exact"/>
              <w:jc w:val="center"/>
              <w:rPr>
                <w:rFonts w:hint="eastAsia" w:ascii="仿宋" w:hAnsi="仿宋" w:eastAsia="仿宋" w:cs="仿宋"/>
                <w:sz w:val="24"/>
                <w:szCs w:val="24"/>
                <w:highlight w:val="none"/>
              </w:rPr>
            </w:pPr>
          </w:p>
        </w:tc>
        <w:tc>
          <w:tcPr>
            <w:tcW w:w="1750" w:type="dxa"/>
            <w:gridSpan w:val="2"/>
            <w:vAlign w:val="center"/>
          </w:tcPr>
          <w:p>
            <w:pPr>
              <w:spacing w:line="400" w:lineRule="exact"/>
              <w:jc w:val="center"/>
              <w:rPr>
                <w:rFonts w:hint="eastAsia" w:ascii="仿宋" w:hAnsi="仿宋" w:eastAsia="仿宋" w:cs="仿宋"/>
                <w:sz w:val="24"/>
                <w:szCs w:val="24"/>
                <w:highlight w:val="none"/>
              </w:rPr>
            </w:pPr>
          </w:p>
        </w:tc>
        <w:tc>
          <w:tcPr>
            <w:tcW w:w="2920"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15443"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3963"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945"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4"/>
            <w:vMerge w:val="continue"/>
            <w:vAlign w:val="center"/>
          </w:tcPr>
          <w:p>
            <w:pPr>
              <w:spacing w:line="400" w:lineRule="exact"/>
              <w:rPr>
                <w:rFonts w:hint="eastAsia" w:ascii="仿宋" w:hAnsi="仿宋" w:eastAsia="仿宋" w:cs="仿宋"/>
                <w:sz w:val="24"/>
                <w:szCs w:val="24"/>
                <w:highlight w:val="none"/>
              </w:rPr>
            </w:pPr>
          </w:p>
        </w:tc>
        <w:tc>
          <w:tcPr>
            <w:tcW w:w="3963"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330"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106E88"/>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0</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2024-05-25T09:31:04Z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