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503315456"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lang w:eastAsia="zh-CN"/>
        </w:rPr>
        <w:t>第二事业部瓷砖</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lang w:eastAsia="zh-CN"/>
        </w:rPr>
        <w:t>二次挂网</w:t>
      </w: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64-2</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13</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13</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12</w:t>
      </w:r>
      <w:r>
        <w:rPr>
          <w:rFonts w:hint="eastAsia" w:ascii="仿宋" w:hAnsi="仿宋" w:eastAsia="仿宋" w:cs="仿宋_GB2312"/>
          <w:sz w:val="24"/>
          <w:highlight w:val="none"/>
          <w:u w:val="single"/>
        </w:rPr>
        <w:t>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eastAsia="zh-CN"/>
        </w:rPr>
        <w:t>贰万</w:t>
      </w:r>
      <w:r>
        <w:rPr>
          <w:rFonts w:hint="eastAsia" w:ascii="仿宋" w:hAnsi="仿宋" w:eastAsia="仿宋" w:cs="仿宋_GB2312"/>
          <w:b/>
          <w:bCs/>
          <w:color w:val="000000"/>
          <w:sz w:val="24"/>
          <w:highlight w:val="none"/>
          <w:u w:val="single"/>
        </w:rPr>
        <w:t>元整</w:t>
      </w:r>
      <w:r>
        <w:rPr>
          <w:rFonts w:hint="eastAsia" w:ascii="仿宋" w:hAnsi="仿宋" w:eastAsia="仿宋" w:cs="仿宋_GB2312"/>
          <w:b/>
          <w:bCs/>
          <w:color w:val="000000"/>
          <w:sz w:val="24"/>
          <w:highlight w:val="none"/>
          <w:u w:val="single"/>
          <w:lang w:eastAsia="zh-CN"/>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公司第二事业部瓷砖</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64-2</w:t>
      </w:r>
      <w:r>
        <w:rPr>
          <w:rFonts w:hint="eastAsia" w:ascii="仿宋" w:hAnsi="仿宋" w:eastAsia="仿宋" w:cs="仿宋_GB2312"/>
          <w:b/>
          <w:bCs/>
          <w:sz w:val="24"/>
          <w:highlight w:val="none"/>
          <w:u w:val="single"/>
        </w:rPr>
        <w:t>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6</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13</w:t>
      </w:r>
      <w:r>
        <w:rPr>
          <w:rFonts w:hint="eastAsia" w:ascii="仿宋" w:hAnsi="仿宋" w:eastAsia="仿宋" w:cs="仿宋_GB2312"/>
          <w:sz w:val="24"/>
          <w:highlight w:val="none"/>
          <w:u w:val="single"/>
        </w:rPr>
        <w:t>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第二事业部铜陵市内各项目现场</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_GB2312"/>
          <w:color w:val="000000" w:themeColor="text1"/>
          <w:sz w:val="24"/>
          <w:highlight w:val="none"/>
          <w:u w:val="single"/>
          <w14:textFill>
            <w14:solidFill>
              <w14:schemeClr w14:val="tx1"/>
            </w14:solidFill>
          </w14:textFill>
        </w:rPr>
        <w:t>合同签订后，</w:t>
      </w:r>
      <w:r>
        <w:rPr>
          <w:rFonts w:hint="eastAsia" w:ascii="仿宋" w:hAnsi="仿宋" w:eastAsia="仿宋" w:cs="仿宋"/>
          <w:color w:val="000000" w:themeColor="text1"/>
          <w:sz w:val="24"/>
          <w:highlight w:val="none"/>
          <w:u w:val="single"/>
          <w14:textFill>
            <w14:solidFill>
              <w14:schemeClr w14:val="tx1"/>
            </w14:solidFill>
          </w14:textFill>
        </w:rPr>
        <w:t>货到验收合格后开具发票，入账次月支付40%，春节前支付至80%，剩余20%该春节后两年内付清。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r>
        <w:rPr>
          <w:rFonts w:hint="eastAsia" w:ascii="仿宋" w:hAnsi="仿宋" w:eastAsia="仿宋" w:cs="仿宋"/>
          <w:color w:val="171A1D"/>
          <w:sz w:val="24"/>
          <w:szCs w:val="24"/>
          <w:highlight w:val="none"/>
          <w:u w:val="single"/>
          <w:shd w:val="clear" w:color="auto" w:fill="FFFFFF"/>
          <w:lang w:eastAsia="zh-CN"/>
        </w:rPr>
        <w:t>。</w:t>
      </w: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numPr>
          <w:ilvl w:val="0"/>
          <w:numId w:val="0"/>
        </w:numPr>
        <w:spacing w:line="360" w:lineRule="auto"/>
        <w:rPr>
          <w:rFonts w:hint="eastAsia" w:ascii="仿宋" w:hAnsi="仿宋" w:eastAsia="仿宋" w:cs="仿宋"/>
          <w:b/>
          <w:sz w:val="24"/>
          <w:szCs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hint="eastAsia" w:ascii="仿宋" w:hAnsi="仿宋" w:eastAsia="仿宋" w:cs="仿宋_GB2312"/>
          <w:sz w:val="24"/>
          <w:highlight w:val="none"/>
          <w:u w:val="single"/>
          <w:lang w:eastAsia="zh-CN"/>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w:t>
      </w:r>
      <w:r>
        <w:rPr>
          <w:rFonts w:hint="eastAsia" w:ascii="仿宋" w:hAnsi="仿宋" w:eastAsia="仿宋" w:cs="仿宋_GB2312"/>
          <w:sz w:val="24"/>
          <w:highlight w:val="none"/>
          <w:u w:val="single"/>
          <w:lang w:eastAsia="zh-CN"/>
        </w:rPr>
        <w:t>在所有投标人的有效报价中，最低报价的为中标人。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hint="eastAsia"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64-</w:t>
      </w:r>
      <w:bookmarkStart w:id="0" w:name="_GoBack"/>
      <w:bookmarkEnd w:id="0"/>
      <w:r>
        <w:rPr>
          <w:rFonts w:hint="eastAsia" w:ascii="仿宋" w:hAnsi="仿宋" w:eastAsia="仿宋"/>
          <w:b/>
          <w:sz w:val="28"/>
          <w:szCs w:val="28"/>
          <w:highlight w:val="none"/>
          <w:lang w:val="en-US" w:eastAsia="zh-CN"/>
        </w:rPr>
        <w:t>2</w:t>
      </w:r>
      <w:r>
        <w:rPr>
          <w:rFonts w:hint="eastAsia" w:ascii="仿宋" w:hAnsi="仿宋" w:eastAsia="仿宋"/>
          <w:b/>
          <w:sz w:val="28"/>
          <w:szCs w:val="28"/>
          <w:highlight w:val="none"/>
        </w:rPr>
        <w:t>）：</w:t>
      </w:r>
    </w:p>
    <w:tbl>
      <w:tblPr>
        <w:tblStyle w:val="54"/>
        <w:tblW w:w="153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2414"/>
        <w:gridCol w:w="1888"/>
        <w:gridCol w:w="689"/>
        <w:gridCol w:w="262"/>
        <w:gridCol w:w="1136"/>
        <w:gridCol w:w="1225"/>
        <w:gridCol w:w="1525"/>
        <w:gridCol w:w="1069"/>
        <w:gridCol w:w="1050"/>
        <w:gridCol w:w="693"/>
        <w:gridCol w:w="2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trPr>
        <w:tc>
          <w:tcPr>
            <w:tcW w:w="521"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414"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188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51"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136"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2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含税含运费单价*</w:t>
            </w:r>
          </w:p>
        </w:tc>
        <w:tc>
          <w:tcPr>
            <w:tcW w:w="1525"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含税含运费</w:t>
            </w:r>
          </w:p>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w:t>
            </w:r>
          </w:p>
        </w:tc>
        <w:tc>
          <w:tcPr>
            <w:tcW w:w="1069"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43" w:type="dxa"/>
            <w:gridSpan w:val="2"/>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是否为增值税专用发票*</w:t>
            </w:r>
          </w:p>
        </w:tc>
        <w:tc>
          <w:tcPr>
            <w:tcW w:w="2908" w:type="dxa"/>
            <w:vAlign w:val="center"/>
          </w:tcPr>
          <w:p>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521"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414"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灰色大理石</w:t>
            </w:r>
          </w:p>
        </w:tc>
        <w:tc>
          <w:tcPr>
            <w:tcW w:w="1888"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1200*600*9mm</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平方米</w:t>
            </w:r>
          </w:p>
        </w:tc>
        <w:tc>
          <w:tcPr>
            <w:tcW w:w="1136"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5382.72</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521"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4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仿木纹干挂砖</w:t>
            </w:r>
          </w:p>
        </w:tc>
        <w:tc>
          <w:tcPr>
            <w:tcW w:w="18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1200*600*17mm</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平方米</w:t>
            </w:r>
          </w:p>
        </w:tc>
        <w:tc>
          <w:tcPr>
            <w:tcW w:w="113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404.64</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4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灰色地毯砖</w:t>
            </w:r>
          </w:p>
        </w:tc>
        <w:tc>
          <w:tcPr>
            <w:tcW w:w="18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600*600*9mm</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平方米</w:t>
            </w:r>
          </w:p>
        </w:tc>
        <w:tc>
          <w:tcPr>
            <w:tcW w:w="113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158.4</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24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米色仿地毯砖</w:t>
            </w:r>
          </w:p>
        </w:tc>
        <w:tc>
          <w:tcPr>
            <w:tcW w:w="18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600*600*9mm</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平方米</w:t>
            </w:r>
          </w:p>
        </w:tc>
        <w:tc>
          <w:tcPr>
            <w:tcW w:w="113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498.24</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24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米色仿大理石</w:t>
            </w:r>
          </w:p>
        </w:tc>
        <w:tc>
          <w:tcPr>
            <w:tcW w:w="18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1200*600*9mm</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平方米</w:t>
            </w:r>
          </w:p>
        </w:tc>
        <w:tc>
          <w:tcPr>
            <w:tcW w:w="113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336.24</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24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白色仿大理石墙砖</w:t>
            </w:r>
          </w:p>
        </w:tc>
        <w:tc>
          <w:tcPr>
            <w:tcW w:w="18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300*600*9mm</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平方米</w:t>
            </w:r>
          </w:p>
        </w:tc>
        <w:tc>
          <w:tcPr>
            <w:tcW w:w="113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2869.92</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24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灰色仿大理石防滑砖</w:t>
            </w:r>
          </w:p>
        </w:tc>
        <w:tc>
          <w:tcPr>
            <w:tcW w:w="18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300*300*9mm</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平方米</w:t>
            </w:r>
          </w:p>
        </w:tc>
        <w:tc>
          <w:tcPr>
            <w:tcW w:w="113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3130.38</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24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楼梯砖加工拉槽</w:t>
            </w:r>
          </w:p>
        </w:tc>
        <w:tc>
          <w:tcPr>
            <w:tcW w:w="18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1200*300</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113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793</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w:t>
            </w:r>
          </w:p>
        </w:tc>
        <w:tc>
          <w:tcPr>
            <w:tcW w:w="24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楼梯加拉槽</w:t>
            </w:r>
          </w:p>
        </w:tc>
        <w:tc>
          <w:tcPr>
            <w:tcW w:w="18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1800*300</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套</w:t>
            </w:r>
          </w:p>
        </w:tc>
        <w:tc>
          <w:tcPr>
            <w:tcW w:w="113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225</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24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楼梯三角</w:t>
            </w:r>
          </w:p>
        </w:tc>
        <w:tc>
          <w:tcPr>
            <w:tcW w:w="18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300*170</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个</w:t>
            </w:r>
          </w:p>
        </w:tc>
        <w:tc>
          <w:tcPr>
            <w:tcW w:w="113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284</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w:t>
            </w:r>
          </w:p>
        </w:tc>
        <w:tc>
          <w:tcPr>
            <w:tcW w:w="24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成品楼梯三角砖</w:t>
            </w:r>
          </w:p>
        </w:tc>
        <w:tc>
          <w:tcPr>
            <w:tcW w:w="18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300*170</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块</w:t>
            </w:r>
          </w:p>
        </w:tc>
        <w:tc>
          <w:tcPr>
            <w:tcW w:w="113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225</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w:t>
            </w:r>
          </w:p>
        </w:tc>
        <w:tc>
          <w:tcPr>
            <w:tcW w:w="24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成品脚线</w:t>
            </w:r>
          </w:p>
        </w:tc>
        <w:tc>
          <w:tcPr>
            <w:tcW w:w="18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120*600mm</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块</w:t>
            </w:r>
          </w:p>
        </w:tc>
        <w:tc>
          <w:tcPr>
            <w:tcW w:w="113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1100</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1"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w:t>
            </w:r>
          </w:p>
        </w:tc>
        <w:tc>
          <w:tcPr>
            <w:tcW w:w="2414"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成品配套楼梯砖</w:t>
            </w:r>
          </w:p>
        </w:tc>
        <w:tc>
          <w:tcPr>
            <w:tcW w:w="188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1200*120mm</w:t>
            </w:r>
          </w:p>
        </w:tc>
        <w:tc>
          <w:tcPr>
            <w:tcW w:w="951" w:type="dxa"/>
            <w:gridSpan w:val="2"/>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块</w:t>
            </w:r>
          </w:p>
        </w:tc>
        <w:tc>
          <w:tcPr>
            <w:tcW w:w="1136"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400</w:t>
            </w:r>
          </w:p>
        </w:tc>
        <w:tc>
          <w:tcPr>
            <w:tcW w:w="1225" w:type="dxa"/>
            <w:vAlign w:val="center"/>
          </w:tcPr>
          <w:p>
            <w:pPr>
              <w:spacing w:line="400" w:lineRule="exact"/>
              <w:jc w:val="center"/>
              <w:rPr>
                <w:rFonts w:hint="eastAsia" w:ascii="仿宋" w:hAnsi="仿宋" w:eastAsia="仿宋" w:cs="仿宋"/>
                <w:color w:val="auto"/>
                <w:sz w:val="24"/>
                <w:szCs w:val="24"/>
                <w:highlight w:val="none"/>
              </w:rPr>
            </w:pPr>
          </w:p>
        </w:tc>
        <w:tc>
          <w:tcPr>
            <w:tcW w:w="1525" w:type="dxa"/>
            <w:vAlign w:val="center"/>
          </w:tcPr>
          <w:p>
            <w:pPr>
              <w:spacing w:line="400" w:lineRule="exact"/>
              <w:jc w:val="center"/>
              <w:rPr>
                <w:rFonts w:hint="eastAsia" w:ascii="仿宋" w:hAnsi="仿宋" w:eastAsia="仿宋" w:cs="仿宋"/>
                <w:color w:val="auto"/>
                <w:sz w:val="24"/>
                <w:szCs w:val="24"/>
                <w:highlight w:val="none"/>
              </w:rPr>
            </w:pPr>
          </w:p>
        </w:tc>
        <w:tc>
          <w:tcPr>
            <w:tcW w:w="1069" w:type="dxa"/>
            <w:vAlign w:val="center"/>
          </w:tcPr>
          <w:p>
            <w:pPr>
              <w:spacing w:line="400" w:lineRule="exact"/>
              <w:jc w:val="center"/>
              <w:rPr>
                <w:rFonts w:hint="eastAsia" w:ascii="仿宋" w:hAnsi="仿宋" w:eastAsia="仿宋" w:cs="仿宋"/>
                <w:color w:val="auto"/>
                <w:sz w:val="24"/>
                <w:szCs w:val="24"/>
                <w:highlight w:val="none"/>
                <w:lang w:val="en-US" w:eastAsia="zh-CN"/>
              </w:rPr>
            </w:pPr>
          </w:p>
        </w:tc>
        <w:tc>
          <w:tcPr>
            <w:tcW w:w="1743" w:type="dxa"/>
            <w:gridSpan w:val="2"/>
            <w:vAlign w:val="center"/>
          </w:tcPr>
          <w:p>
            <w:pPr>
              <w:spacing w:line="400" w:lineRule="exact"/>
              <w:jc w:val="center"/>
              <w:rPr>
                <w:rFonts w:hint="eastAsia" w:ascii="仿宋" w:hAnsi="仿宋" w:eastAsia="仿宋" w:cs="仿宋"/>
                <w:color w:val="auto"/>
                <w:sz w:val="24"/>
                <w:szCs w:val="24"/>
                <w:highlight w:val="none"/>
                <w:lang w:eastAsia="zh-CN"/>
              </w:rPr>
            </w:pPr>
          </w:p>
        </w:tc>
        <w:tc>
          <w:tcPr>
            <w:tcW w:w="2908"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color w:val="auto"/>
                <w:sz w:val="24"/>
                <w:szCs w:val="24"/>
                <w:highlight w:val="none"/>
                <w:lang w:eastAsia="zh-CN"/>
              </w:rPr>
              <w:t>品牌：蒙娜丽莎，大将军，冠军，简一。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521" w:type="dxa"/>
            <w:vAlign w:val="center"/>
          </w:tcPr>
          <w:p>
            <w:pPr>
              <w:spacing w:line="400" w:lineRule="exact"/>
              <w:jc w:val="center"/>
              <w:rPr>
                <w:rFonts w:hint="eastAsia" w:ascii="仿宋" w:hAnsi="仿宋" w:eastAsia="仿宋" w:cs="仿宋"/>
                <w:sz w:val="24"/>
                <w:szCs w:val="24"/>
                <w:highlight w:val="none"/>
              </w:rPr>
            </w:pPr>
          </w:p>
        </w:tc>
        <w:tc>
          <w:tcPr>
            <w:tcW w:w="7614" w:type="dxa"/>
            <w:gridSpan w:val="6"/>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合计：</w:t>
            </w:r>
          </w:p>
        </w:tc>
        <w:tc>
          <w:tcPr>
            <w:tcW w:w="1525" w:type="dxa"/>
            <w:vAlign w:val="center"/>
          </w:tcPr>
          <w:p>
            <w:pPr>
              <w:spacing w:line="400" w:lineRule="exact"/>
              <w:jc w:val="center"/>
              <w:rPr>
                <w:rFonts w:hint="eastAsia" w:ascii="仿宋" w:hAnsi="仿宋" w:eastAsia="仿宋" w:cs="仿宋"/>
                <w:sz w:val="24"/>
                <w:szCs w:val="24"/>
                <w:highlight w:val="none"/>
              </w:rPr>
            </w:pPr>
          </w:p>
        </w:tc>
        <w:tc>
          <w:tcPr>
            <w:tcW w:w="1069" w:type="dxa"/>
            <w:vAlign w:val="center"/>
          </w:tcPr>
          <w:p>
            <w:pPr>
              <w:spacing w:line="400" w:lineRule="exact"/>
              <w:jc w:val="center"/>
              <w:rPr>
                <w:rFonts w:hint="eastAsia" w:ascii="仿宋" w:hAnsi="仿宋" w:eastAsia="仿宋" w:cs="仿宋"/>
                <w:sz w:val="24"/>
                <w:szCs w:val="24"/>
                <w:highlight w:val="none"/>
              </w:rPr>
            </w:pPr>
          </w:p>
        </w:tc>
        <w:tc>
          <w:tcPr>
            <w:tcW w:w="1743" w:type="dxa"/>
            <w:gridSpan w:val="2"/>
            <w:vAlign w:val="center"/>
          </w:tcPr>
          <w:p>
            <w:pPr>
              <w:spacing w:line="400" w:lineRule="exact"/>
              <w:jc w:val="center"/>
              <w:rPr>
                <w:rFonts w:hint="eastAsia" w:ascii="仿宋" w:hAnsi="仿宋" w:eastAsia="仿宋" w:cs="仿宋"/>
                <w:sz w:val="24"/>
                <w:szCs w:val="24"/>
                <w:highlight w:val="none"/>
              </w:rPr>
            </w:pPr>
          </w:p>
        </w:tc>
        <w:tc>
          <w:tcPr>
            <w:tcW w:w="2908" w:type="dxa"/>
            <w:vAlign w:val="center"/>
          </w:tcPr>
          <w:p>
            <w:pPr>
              <w:widowControl/>
              <w:jc w:val="center"/>
              <w:textAlignment w:val="center"/>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4" w:hRule="atLeast"/>
        </w:trPr>
        <w:tc>
          <w:tcPr>
            <w:tcW w:w="15380" w:type="dxa"/>
            <w:gridSpan w:val="12"/>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pPr>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2、本次招标的数量为预估量，最终结算数量以双方确认的实际供货数量为准。</w:t>
            </w:r>
          </w:p>
          <w:p>
            <w:pPr>
              <w:spacing w:line="400" w:lineRule="exact"/>
              <w:ind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3、投标人需提供相关品牌方的授权委托书。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5512" w:type="dxa"/>
            <w:gridSpan w:val="4"/>
            <w:vMerge w:val="restart"/>
            <w:vAlign w:val="center"/>
          </w:tcPr>
          <w:p>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4148" w:type="dxa"/>
            <w:gridSpan w:val="4"/>
            <w:vAlign w:val="center"/>
          </w:tcPr>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720" w:type="dxa"/>
            <w:gridSpan w:val="4"/>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5512" w:type="dxa"/>
            <w:gridSpan w:val="4"/>
            <w:vMerge w:val="continue"/>
            <w:vAlign w:val="center"/>
          </w:tcPr>
          <w:p>
            <w:pPr>
              <w:spacing w:line="400" w:lineRule="exact"/>
              <w:rPr>
                <w:rFonts w:hint="eastAsia" w:ascii="仿宋" w:hAnsi="仿宋" w:eastAsia="仿宋" w:cs="仿宋"/>
                <w:sz w:val="24"/>
                <w:szCs w:val="24"/>
                <w:highlight w:val="none"/>
              </w:rPr>
            </w:pPr>
          </w:p>
        </w:tc>
        <w:tc>
          <w:tcPr>
            <w:tcW w:w="4148" w:type="dxa"/>
            <w:gridSpan w:val="4"/>
            <w:vMerge w:val="restart"/>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11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01" w:type="dxa"/>
            <w:gridSpan w:val="2"/>
            <w:vAlign w:val="center"/>
          </w:tcPr>
          <w:p>
            <w:pPr>
              <w:spacing w:line="400" w:lineRule="exac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5512" w:type="dxa"/>
            <w:gridSpan w:val="4"/>
            <w:vMerge w:val="continue"/>
            <w:vAlign w:val="center"/>
          </w:tcPr>
          <w:p>
            <w:pPr>
              <w:spacing w:line="400" w:lineRule="exact"/>
              <w:rPr>
                <w:rFonts w:hint="eastAsia" w:ascii="仿宋" w:hAnsi="仿宋" w:eastAsia="仿宋" w:cs="仿宋"/>
                <w:sz w:val="24"/>
                <w:szCs w:val="24"/>
                <w:highlight w:val="none"/>
              </w:rPr>
            </w:pPr>
          </w:p>
        </w:tc>
        <w:tc>
          <w:tcPr>
            <w:tcW w:w="4148" w:type="dxa"/>
            <w:gridSpan w:val="4"/>
            <w:vMerge w:val="continue"/>
            <w:vAlign w:val="center"/>
          </w:tcPr>
          <w:p>
            <w:pPr>
              <w:spacing w:line="400" w:lineRule="exact"/>
              <w:jc w:val="center"/>
              <w:rPr>
                <w:rFonts w:hint="eastAsia" w:ascii="仿宋" w:hAnsi="仿宋" w:eastAsia="仿宋" w:cs="仿宋"/>
                <w:sz w:val="24"/>
                <w:szCs w:val="24"/>
                <w:highlight w:val="none"/>
              </w:rPr>
            </w:pPr>
          </w:p>
        </w:tc>
        <w:tc>
          <w:tcPr>
            <w:tcW w:w="2119" w:type="dxa"/>
            <w:gridSpan w:val="2"/>
            <w:vAlign w:val="center"/>
          </w:tcPr>
          <w:p>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01" w:type="dxa"/>
            <w:gridSpan w:val="2"/>
            <w:vAlign w:val="center"/>
          </w:tcPr>
          <w:p>
            <w:pPr>
              <w:spacing w:line="400" w:lineRule="exact"/>
              <w:rPr>
                <w:rFonts w:hint="eastAsia" w:ascii="仿宋" w:hAnsi="仿宋" w:eastAsia="仿宋" w:cs="仿宋"/>
                <w:sz w:val="24"/>
                <w:szCs w:val="24"/>
                <w:highlight w:val="none"/>
              </w:rPr>
            </w:pPr>
          </w:p>
        </w:tc>
      </w:tr>
    </w:tbl>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102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9A63D2"/>
    <w:rsid w:val="02FD4E76"/>
    <w:rsid w:val="03012A46"/>
    <w:rsid w:val="035F6345"/>
    <w:rsid w:val="036C34DA"/>
    <w:rsid w:val="03D355F0"/>
    <w:rsid w:val="03FA629B"/>
    <w:rsid w:val="05011011"/>
    <w:rsid w:val="053E62C7"/>
    <w:rsid w:val="05BF33B5"/>
    <w:rsid w:val="061F198A"/>
    <w:rsid w:val="0654028A"/>
    <w:rsid w:val="076B4827"/>
    <w:rsid w:val="08FD0B6A"/>
    <w:rsid w:val="095B20FD"/>
    <w:rsid w:val="09F87FE5"/>
    <w:rsid w:val="0B2B537E"/>
    <w:rsid w:val="0C6241B2"/>
    <w:rsid w:val="0CA911C7"/>
    <w:rsid w:val="0D2B4E23"/>
    <w:rsid w:val="0E2061B7"/>
    <w:rsid w:val="0E876D2F"/>
    <w:rsid w:val="0EC82FD7"/>
    <w:rsid w:val="0FB34554"/>
    <w:rsid w:val="10181623"/>
    <w:rsid w:val="107930BF"/>
    <w:rsid w:val="107A6B7C"/>
    <w:rsid w:val="107E735A"/>
    <w:rsid w:val="124C3C1F"/>
    <w:rsid w:val="12A820AD"/>
    <w:rsid w:val="13377E0F"/>
    <w:rsid w:val="13945E07"/>
    <w:rsid w:val="15737884"/>
    <w:rsid w:val="15750C31"/>
    <w:rsid w:val="16B948A5"/>
    <w:rsid w:val="17D86D23"/>
    <w:rsid w:val="17F4775E"/>
    <w:rsid w:val="18AF15FD"/>
    <w:rsid w:val="18F44CAE"/>
    <w:rsid w:val="19E94006"/>
    <w:rsid w:val="1ACA153B"/>
    <w:rsid w:val="1BBF797C"/>
    <w:rsid w:val="1BCC1600"/>
    <w:rsid w:val="1BD8798C"/>
    <w:rsid w:val="1DB63303"/>
    <w:rsid w:val="1DE26149"/>
    <w:rsid w:val="1DEE2CCA"/>
    <w:rsid w:val="1EB92EF2"/>
    <w:rsid w:val="1F17125C"/>
    <w:rsid w:val="1FAB30E7"/>
    <w:rsid w:val="2037683E"/>
    <w:rsid w:val="20615234"/>
    <w:rsid w:val="20637B7A"/>
    <w:rsid w:val="20BB5045"/>
    <w:rsid w:val="21115412"/>
    <w:rsid w:val="21A61884"/>
    <w:rsid w:val="221B22F9"/>
    <w:rsid w:val="221D09FC"/>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F2E5F52"/>
    <w:rsid w:val="2F3E6548"/>
    <w:rsid w:val="2FF670DA"/>
    <w:rsid w:val="30481183"/>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5908D3"/>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FA2D1F"/>
    <w:rsid w:val="434963F7"/>
    <w:rsid w:val="436B2C00"/>
    <w:rsid w:val="439F612A"/>
    <w:rsid w:val="441344E9"/>
    <w:rsid w:val="444569BF"/>
    <w:rsid w:val="44842956"/>
    <w:rsid w:val="44B922E9"/>
    <w:rsid w:val="45086E27"/>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7D41A22"/>
    <w:rsid w:val="5807041D"/>
    <w:rsid w:val="583F79D3"/>
    <w:rsid w:val="58691989"/>
    <w:rsid w:val="58EE12B3"/>
    <w:rsid w:val="58F960F8"/>
    <w:rsid w:val="59264D13"/>
    <w:rsid w:val="5B573321"/>
    <w:rsid w:val="5C1E1084"/>
    <w:rsid w:val="5EE27322"/>
    <w:rsid w:val="5F736EDC"/>
    <w:rsid w:val="60921071"/>
    <w:rsid w:val="60F035C2"/>
    <w:rsid w:val="623446C7"/>
    <w:rsid w:val="633441F6"/>
    <w:rsid w:val="6352429E"/>
    <w:rsid w:val="63A94A71"/>
    <w:rsid w:val="63E45615"/>
    <w:rsid w:val="645A1DAF"/>
    <w:rsid w:val="64940258"/>
    <w:rsid w:val="64940A1E"/>
    <w:rsid w:val="69021DF3"/>
    <w:rsid w:val="69267541"/>
    <w:rsid w:val="698348FA"/>
    <w:rsid w:val="69AD4D95"/>
    <w:rsid w:val="6A1720C7"/>
    <w:rsid w:val="6A315ABB"/>
    <w:rsid w:val="6A43654D"/>
    <w:rsid w:val="6A827113"/>
    <w:rsid w:val="6A87598F"/>
    <w:rsid w:val="6D367190"/>
    <w:rsid w:val="6E1970B9"/>
    <w:rsid w:val="6F763902"/>
    <w:rsid w:val="6FE30FB3"/>
    <w:rsid w:val="703849D5"/>
    <w:rsid w:val="711712EF"/>
    <w:rsid w:val="7180640A"/>
    <w:rsid w:val="71896340"/>
    <w:rsid w:val="71A978B5"/>
    <w:rsid w:val="71F35AC2"/>
    <w:rsid w:val="72B81640"/>
    <w:rsid w:val="72DA2E30"/>
    <w:rsid w:val="741B5852"/>
    <w:rsid w:val="74B57A97"/>
    <w:rsid w:val="7574564B"/>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 w:val="7FF16C0D"/>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1</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2024-06-05T06:25:34Z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