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第二事业部沙溪项目混凝土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68-2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公司第二事业部沙溪项目混凝土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68-2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第二事业部沙溪项目现场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68-2</w:t>
      </w:r>
      <w:bookmarkStart w:id="0" w:name="_GoBack"/>
      <w:bookmarkEnd w:id="0"/>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C15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835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C30p6</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8EA72E5"/>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2024-06-05T06:35:13Z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