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67BA">
      <w:pPr>
        <w:spacing w:line="360" w:lineRule="auto"/>
        <w:rPr>
          <w:rFonts w:ascii="方正姚体" w:eastAsia="方正姚体"/>
        </w:rPr>
      </w:pPr>
    </w:p>
    <w:p w14:paraId="5672D58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矿用控制柜技术要求</w:t>
      </w:r>
    </w:p>
    <w:p w14:paraId="4D449564">
      <w:pPr>
        <w:spacing w:line="360" w:lineRule="auto"/>
        <w:ind w:firstLine="422" w:firstLineChars="176"/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*1、3</w:t>
      </w:r>
      <w:r>
        <w:rPr>
          <w:rFonts w:hint="eastAsia" w:ascii="宋体" w:hAnsi="宋体"/>
          <w:b/>
          <w:sz w:val="24"/>
          <w:highlight w:val="yellow"/>
        </w:rPr>
        <w:t>台矿用控制柜</w:t>
      </w:r>
      <w:r>
        <w:rPr>
          <w:rFonts w:hint="eastAsia"/>
          <w:b/>
          <w:sz w:val="24"/>
          <w:highlight w:val="yellow"/>
        </w:rPr>
        <w:t>制造商必须具有生产矿用安全标志的产品的资质，且产品具有对应的安全标志编号，在《安标</w:t>
      </w:r>
      <w:r>
        <w:rPr>
          <w:b/>
          <w:sz w:val="24"/>
          <w:highlight w:val="yellow"/>
        </w:rPr>
        <w:t>国家矿用产品安全标志中心有限公司</w:t>
      </w:r>
      <w:r>
        <w:rPr>
          <w:rFonts w:hint="eastAsia"/>
          <w:b/>
          <w:sz w:val="24"/>
          <w:highlight w:val="yellow"/>
        </w:rPr>
        <w:t>》官网上可以查询到产品及编号对应在册。</w:t>
      </w:r>
    </w:p>
    <w:p w14:paraId="788AEB90">
      <w:pPr>
        <w:spacing w:line="4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 2、控制柜必须满足</w:t>
      </w:r>
      <w:r>
        <w:rPr>
          <w:sz w:val="24"/>
        </w:rPr>
        <w:t>KGK-220</w:t>
      </w:r>
      <w:r>
        <w:rPr>
          <w:rFonts w:hint="eastAsia"/>
          <w:sz w:val="24"/>
        </w:rPr>
        <w:t>型控制柜的相关技术要求；系统额定电压为380/220V；</w:t>
      </w:r>
      <w:bookmarkStart w:id="0" w:name="_GoBack"/>
      <w:bookmarkEnd w:id="0"/>
    </w:p>
    <w:p w14:paraId="120FECE8">
      <w:pPr>
        <w:spacing w:line="400" w:lineRule="exact"/>
        <w:ind w:firstLine="359" w:firstLineChars="171"/>
        <w:rPr>
          <w:rFonts w:asciiTheme="minorEastAsia" w:hAnsiTheme="minorEastAsia" w:eastAsiaTheme="minorEastAsia"/>
          <w:sz w:val="24"/>
        </w:rPr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3、柜体外壳必须采用2.0mm覆铝锌钢板材质，全封闭设计，前后双开门，防护等级不低于</w:t>
      </w:r>
      <w:r>
        <w:rPr>
          <w:rFonts w:asciiTheme="minorEastAsia" w:hAnsiTheme="minorEastAsia" w:eastAsiaTheme="minorEastAsia"/>
          <w:sz w:val="24"/>
        </w:rPr>
        <w:t>IP</w:t>
      </w:r>
      <w:r>
        <w:rPr>
          <w:rFonts w:hint="eastAsia" w:asciiTheme="minorEastAsia" w:hAnsiTheme="minorEastAsia" w:eastAsiaTheme="minorEastAsia"/>
          <w:sz w:val="24"/>
        </w:rPr>
        <w:t>54；</w:t>
      </w:r>
    </w:p>
    <w:p w14:paraId="5F391ECE">
      <w:pPr>
        <w:pStyle w:val="2"/>
        <w:spacing w:before="156" w:after="156" w:line="400" w:lineRule="exac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4、选用3</w:t>
      </w:r>
      <w:r>
        <w:rPr>
          <w:rFonts w:asciiTheme="majorEastAsia" w:hAnsiTheme="majorEastAsia" w:eastAsiaTheme="majorEastAsia"/>
        </w:rPr>
        <w:t>04</w:t>
      </w:r>
      <w:r>
        <w:rPr>
          <w:rFonts w:hint="eastAsia" w:asciiTheme="majorEastAsia" w:hAnsiTheme="majorEastAsia" w:eastAsiaTheme="majorEastAsia"/>
        </w:rPr>
        <w:t>不锈钢箱体，内有西门子S</w:t>
      </w:r>
      <w:r>
        <w:rPr>
          <w:rFonts w:asciiTheme="majorEastAsia" w:hAnsiTheme="majorEastAsia" w:eastAsiaTheme="majorEastAsia"/>
        </w:rPr>
        <w:t>7-200SMART PLC,</w:t>
      </w:r>
      <w:r>
        <w:rPr>
          <w:rFonts w:hint="eastAsia" w:asciiTheme="majorEastAsia" w:hAnsiTheme="majorEastAsia" w:eastAsiaTheme="majorEastAsia"/>
        </w:rPr>
        <w:t>断路器、接触器、继电器等低压器件选用施耐德品牌。配有</w:t>
      </w:r>
      <w:r>
        <w:rPr>
          <w:rFonts w:asciiTheme="majorEastAsia" w:hAnsiTheme="majorEastAsia" w:eastAsiaTheme="majorEastAsia"/>
        </w:rPr>
        <w:t>7</w:t>
      </w:r>
      <w:r>
        <w:rPr>
          <w:rFonts w:hint="eastAsia" w:asciiTheme="majorEastAsia" w:hAnsiTheme="majorEastAsia" w:eastAsiaTheme="majorEastAsia"/>
        </w:rPr>
        <w:t>寸昆仑通泰触摸屏，能够动态显示水泵的运行状态。可以选择本台设备“远程/就地/检修”控制方式，现场控制子系统主要完成单一水泵的现场传感器数据采集，以及单台水泵的启动控制。</w:t>
      </w:r>
    </w:p>
    <w:p w14:paraId="25E9F460">
      <w:pPr>
        <w:spacing w:line="400" w:lineRule="exact"/>
        <w:ind w:firstLine="360" w:firstLineChars="1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5、控制柜内变频器为</w:t>
      </w:r>
      <w:r>
        <w:rPr>
          <w:rFonts w:asciiTheme="majorEastAsia" w:hAnsiTheme="majorEastAsia" w:eastAsiaTheme="majorEastAsia"/>
          <w:sz w:val="24"/>
        </w:rPr>
        <w:t>AC78-T3-</w:t>
      </w:r>
      <w:r>
        <w:rPr>
          <w:rFonts w:hint="eastAsia" w:asciiTheme="majorEastAsia" w:hAnsiTheme="majorEastAsia" w:eastAsiaTheme="majorEastAsia"/>
          <w:sz w:val="24"/>
        </w:rPr>
        <w:t>75G</w:t>
      </w:r>
      <w:r>
        <w:rPr>
          <w:rFonts w:asciiTheme="majorEastAsia" w:hAnsiTheme="majorEastAsia" w:eastAsiaTheme="majorEastAsia"/>
          <w:sz w:val="24"/>
        </w:rPr>
        <w:t>/TL</w:t>
      </w:r>
      <w:r>
        <w:rPr>
          <w:rFonts w:hint="eastAsia" w:asciiTheme="majorEastAsia" w:hAnsiTheme="majorEastAsia" w:eastAsiaTheme="majorEastAsia"/>
          <w:sz w:val="24"/>
        </w:rPr>
        <w:t>。变频器必须具有模拟量4-20mA输入/输出接口、标配RS485接口、PID控制功能；欠压、可控硅短路、过热、电机过载、电机缺相、电机接地、短路保护功能以及变频器所具备的其它通用基本功能,并提供厂家证明材料；控制柜内塑壳断路器QF和接触器KM选用施耐德电气有限公司原厂正宗产品,并提供厂家证明材料；</w:t>
      </w:r>
    </w:p>
    <w:p w14:paraId="037AB66A">
      <w:pPr>
        <w:spacing w:line="40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险；</w:t>
      </w:r>
    </w:p>
    <w:p w14:paraId="6DC8467B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6、所有主回路的出线和控制回路连线全部进端子；</w:t>
      </w:r>
    </w:p>
    <w:p w14:paraId="7DE9DAF4">
      <w:pPr>
        <w:spacing w:line="400" w:lineRule="exact"/>
        <w:ind w:left="1"/>
        <w:rPr>
          <w:sz w:val="24"/>
        </w:rPr>
      </w:pPr>
      <w:r>
        <w:rPr>
          <w:rFonts w:hint="eastAsia"/>
          <w:sz w:val="24"/>
        </w:rPr>
        <w:t xml:space="preserve">    7、制造商必须取得产品制造与销售许可和ISO9000系列标准认证及3C认证证书。</w:t>
      </w:r>
    </w:p>
    <w:p w14:paraId="160DEE2E">
      <w:pPr>
        <w:spacing w:line="400" w:lineRule="exact"/>
        <w:ind w:left="1"/>
        <w:rPr>
          <w:sz w:val="24"/>
        </w:rPr>
      </w:pPr>
      <w:r>
        <w:rPr>
          <w:rFonts w:hint="eastAsia"/>
          <w:sz w:val="24"/>
        </w:rPr>
        <w:t xml:space="preserve">    8、制造商必须提供各种产品安装使用说明书、出厂试验报告、产品合格证；提供控制柜一次系统图、二次原理图，接线图各2套，线路线号标识清晰，并提供电子版。</w:t>
      </w:r>
    </w:p>
    <w:p w14:paraId="0472D30E">
      <w:pPr>
        <w:spacing w:line="400" w:lineRule="exact"/>
        <w:ind w:left="1"/>
        <w:rPr>
          <w:sz w:val="24"/>
        </w:rPr>
      </w:pPr>
      <w:r>
        <w:rPr>
          <w:rFonts w:hint="eastAsia"/>
          <w:sz w:val="24"/>
        </w:rPr>
        <w:t xml:space="preserve">    9、制造商必须</w:t>
      </w:r>
      <w:r>
        <w:rPr>
          <w:sz w:val="24"/>
        </w:rPr>
        <w:t>生产经营状况良好，在同行业信誉好，业绩优良，能提供全新、优质、符合标书要求并产品；</w:t>
      </w:r>
      <w:r>
        <w:rPr>
          <w:rFonts w:hint="eastAsia"/>
          <w:sz w:val="24"/>
        </w:rPr>
        <w:t>并在设备故障发生时厂家维修人员4小时内到达现场处理；</w:t>
      </w:r>
    </w:p>
    <w:p w14:paraId="1D45D12F">
      <w:pPr>
        <w:spacing w:line="400" w:lineRule="exact"/>
        <w:ind w:left="2" w:leftChars="-228" w:hanging="480" w:hangingChars="200"/>
        <w:rPr>
          <w:sz w:val="24"/>
        </w:rPr>
      </w:pPr>
      <w:r>
        <w:rPr>
          <w:rFonts w:hint="eastAsia"/>
          <w:sz w:val="24"/>
        </w:rPr>
        <w:t xml:space="preserve">       10、制造商必须承诺为期不少于12个月的免费保修期，保修期内供方应免费提供并更换因质量原因损坏的零部件，保修期满后供方须根据用户需要提供售后服务。</w:t>
      </w:r>
    </w:p>
    <w:p w14:paraId="41C0241A">
      <w:pPr>
        <w:pStyle w:val="2"/>
        <w:spacing w:before="156" w:after="156"/>
      </w:pPr>
      <w:r>
        <w:rPr>
          <w:rFonts w:hint="eastAsia"/>
        </w:rPr>
        <w:t>11、未尽事宜与甲方技术人员沟通，双方及时沟通协商解决。</w:t>
      </w:r>
    </w:p>
    <w:p w14:paraId="772E466F">
      <w:r>
        <w:rPr>
          <w:rFonts w:hint="eastAsia"/>
          <w:b/>
          <w:sz w:val="30"/>
          <w:szCs w:val="30"/>
        </w:rPr>
        <w:t xml:space="preserve">         </w:t>
      </w:r>
    </w:p>
    <w:p w14:paraId="2D8625F8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细圆-Identity-H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519C">
    <w:pPr>
      <w:pStyle w:val="15"/>
      <w:jc w:val="right"/>
    </w:pPr>
    <w: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41A13FE">
                <w:pPr>
                  <w:pStyle w:val="15"/>
                  <w:jc w:val="right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 w14:paraId="5B8C0D0F">
    <w:pPr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iMTYyY2Y3MjBlNmQxN2EwNjM5NWJkMDJmYmQ4MjMifQ=="/>
  </w:docVars>
  <w:rsids>
    <w:rsidRoot w:val="003443C8"/>
    <w:rsid w:val="00004D10"/>
    <w:rsid w:val="0000600B"/>
    <w:rsid w:val="00012D7A"/>
    <w:rsid w:val="00013852"/>
    <w:rsid w:val="00015F76"/>
    <w:rsid w:val="00025732"/>
    <w:rsid w:val="00040E2E"/>
    <w:rsid w:val="00043508"/>
    <w:rsid w:val="000464A8"/>
    <w:rsid w:val="0006012B"/>
    <w:rsid w:val="000635F6"/>
    <w:rsid w:val="00063FD0"/>
    <w:rsid w:val="000673C9"/>
    <w:rsid w:val="0007030F"/>
    <w:rsid w:val="0007494C"/>
    <w:rsid w:val="00074F9D"/>
    <w:rsid w:val="00077037"/>
    <w:rsid w:val="00094CE9"/>
    <w:rsid w:val="000952AE"/>
    <w:rsid w:val="00097486"/>
    <w:rsid w:val="000A2DFE"/>
    <w:rsid w:val="000C6309"/>
    <w:rsid w:val="000D0A24"/>
    <w:rsid w:val="000D1DB0"/>
    <w:rsid w:val="000D429E"/>
    <w:rsid w:val="000F549E"/>
    <w:rsid w:val="000F7E74"/>
    <w:rsid w:val="00101592"/>
    <w:rsid w:val="00117E82"/>
    <w:rsid w:val="00122E36"/>
    <w:rsid w:val="00130D90"/>
    <w:rsid w:val="00166D82"/>
    <w:rsid w:val="00186FC9"/>
    <w:rsid w:val="00193335"/>
    <w:rsid w:val="00196F14"/>
    <w:rsid w:val="001A2E78"/>
    <w:rsid w:val="001C797D"/>
    <w:rsid w:val="001D0199"/>
    <w:rsid w:val="001D4441"/>
    <w:rsid w:val="001D5578"/>
    <w:rsid w:val="001E6608"/>
    <w:rsid w:val="001F1389"/>
    <w:rsid w:val="001F156F"/>
    <w:rsid w:val="001F1EA2"/>
    <w:rsid w:val="00204CA2"/>
    <w:rsid w:val="002072A8"/>
    <w:rsid w:val="00230A61"/>
    <w:rsid w:val="002377BA"/>
    <w:rsid w:val="00242BEE"/>
    <w:rsid w:val="00243A22"/>
    <w:rsid w:val="0025115F"/>
    <w:rsid w:val="002528B1"/>
    <w:rsid w:val="002725C5"/>
    <w:rsid w:val="00273820"/>
    <w:rsid w:val="00276DB8"/>
    <w:rsid w:val="002861DE"/>
    <w:rsid w:val="00291ADA"/>
    <w:rsid w:val="002944AA"/>
    <w:rsid w:val="002A54A3"/>
    <w:rsid w:val="002B7B08"/>
    <w:rsid w:val="002C49D6"/>
    <w:rsid w:val="002D0A73"/>
    <w:rsid w:val="002D7EB5"/>
    <w:rsid w:val="002E78E5"/>
    <w:rsid w:val="002F53CF"/>
    <w:rsid w:val="002F737D"/>
    <w:rsid w:val="00317D50"/>
    <w:rsid w:val="003225B0"/>
    <w:rsid w:val="003236BD"/>
    <w:rsid w:val="00334CB6"/>
    <w:rsid w:val="00336817"/>
    <w:rsid w:val="00343AC7"/>
    <w:rsid w:val="003443C8"/>
    <w:rsid w:val="003516B9"/>
    <w:rsid w:val="0035534C"/>
    <w:rsid w:val="00366025"/>
    <w:rsid w:val="00366D4B"/>
    <w:rsid w:val="00386253"/>
    <w:rsid w:val="00387CCF"/>
    <w:rsid w:val="003B02D7"/>
    <w:rsid w:val="003C31FA"/>
    <w:rsid w:val="003E4D43"/>
    <w:rsid w:val="003F1DC1"/>
    <w:rsid w:val="003F4249"/>
    <w:rsid w:val="00400284"/>
    <w:rsid w:val="004121F1"/>
    <w:rsid w:val="00415684"/>
    <w:rsid w:val="00431839"/>
    <w:rsid w:val="00451BA1"/>
    <w:rsid w:val="0045372F"/>
    <w:rsid w:val="004734A6"/>
    <w:rsid w:val="004736F8"/>
    <w:rsid w:val="00485BEA"/>
    <w:rsid w:val="00491A02"/>
    <w:rsid w:val="004943CA"/>
    <w:rsid w:val="004A56C0"/>
    <w:rsid w:val="004B5C3D"/>
    <w:rsid w:val="004B7E79"/>
    <w:rsid w:val="004C6402"/>
    <w:rsid w:val="004E294A"/>
    <w:rsid w:val="004F2EDD"/>
    <w:rsid w:val="004F3D0D"/>
    <w:rsid w:val="004F6C89"/>
    <w:rsid w:val="004F750E"/>
    <w:rsid w:val="005009FD"/>
    <w:rsid w:val="00503468"/>
    <w:rsid w:val="00504D57"/>
    <w:rsid w:val="00516F8A"/>
    <w:rsid w:val="00523680"/>
    <w:rsid w:val="00525CEC"/>
    <w:rsid w:val="0052665D"/>
    <w:rsid w:val="005273CD"/>
    <w:rsid w:val="00531A95"/>
    <w:rsid w:val="005342E1"/>
    <w:rsid w:val="00534C22"/>
    <w:rsid w:val="0053661F"/>
    <w:rsid w:val="00536FDA"/>
    <w:rsid w:val="00552100"/>
    <w:rsid w:val="0055311D"/>
    <w:rsid w:val="005566BF"/>
    <w:rsid w:val="005601AC"/>
    <w:rsid w:val="00570004"/>
    <w:rsid w:val="00570F72"/>
    <w:rsid w:val="00582DF5"/>
    <w:rsid w:val="005A2C9F"/>
    <w:rsid w:val="005B02FE"/>
    <w:rsid w:val="005B2AD5"/>
    <w:rsid w:val="005C58C9"/>
    <w:rsid w:val="005D1FEA"/>
    <w:rsid w:val="005D301C"/>
    <w:rsid w:val="005E16C7"/>
    <w:rsid w:val="005E426E"/>
    <w:rsid w:val="006008AE"/>
    <w:rsid w:val="006128CB"/>
    <w:rsid w:val="00612F42"/>
    <w:rsid w:val="006131D0"/>
    <w:rsid w:val="006174F6"/>
    <w:rsid w:val="00623B54"/>
    <w:rsid w:val="00625416"/>
    <w:rsid w:val="0063194B"/>
    <w:rsid w:val="006761A9"/>
    <w:rsid w:val="00681C6B"/>
    <w:rsid w:val="00686F1B"/>
    <w:rsid w:val="00687FFD"/>
    <w:rsid w:val="006A531F"/>
    <w:rsid w:val="006B1799"/>
    <w:rsid w:val="006B44AB"/>
    <w:rsid w:val="006D5038"/>
    <w:rsid w:val="006D70E6"/>
    <w:rsid w:val="006E31A4"/>
    <w:rsid w:val="006E3BAF"/>
    <w:rsid w:val="006F4BF1"/>
    <w:rsid w:val="00704502"/>
    <w:rsid w:val="00705542"/>
    <w:rsid w:val="0071440E"/>
    <w:rsid w:val="007424B1"/>
    <w:rsid w:val="007426A2"/>
    <w:rsid w:val="00742F1D"/>
    <w:rsid w:val="007564D2"/>
    <w:rsid w:val="00762494"/>
    <w:rsid w:val="007654FD"/>
    <w:rsid w:val="00765A26"/>
    <w:rsid w:val="0076774E"/>
    <w:rsid w:val="00770502"/>
    <w:rsid w:val="0077656E"/>
    <w:rsid w:val="007825FA"/>
    <w:rsid w:val="007A3DBE"/>
    <w:rsid w:val="007B31B0"/>
    <w:rsid w:val="007C1562"/>
    <w:rsid w:val="007D0112"/>
    <w:rsid w:val="007D17EA"/>
    <w:rsid w:val="007D7AEE"/>
    <w:rsid w:val="007E146D"/>
    <w:rsid w:val="007F2806"/>
    <w:rsid w:val="007F3CD1"/>
    <w:rsid w:val="00803B37"/>
    <w:rsid w:val="00824AE3"/>
    <w:rsid w:val="00833004"/>
    <w:rsid w:val="00837B90"/>
    <w:rsid w:val="00842C5B"/>
    <w:rsid w:val="008709B1"/>
    <w:rsid w:val="00870AAB"/>
    <w:rsid w:val="00876D64"/>
    <w:rsid w:val="008A619B"/>
    <w:rsid w:val="008B2D44"/>
    <w:rsid w:val="008E2934"/>
    <w:rsid w:val="008E35AC"/>
    <w:rsid w:val="008F653B"/>
    <w:rsid w:val="00920547"/>
    <w:rsid w:val="00921950"/>
    <w:rsid w:val="00925A8A"/>
    <w:rsid w:val="00925DBF"/>
    <w:rsid w:val="00942E4A"/>
    <w:rsid w:val="00942F25"/>
    <w:rsid w:val="00952DB8"/>
    <w:rsid w:val="0097596C"/>
    <w:rsid w:val="009801AE"/>
    <w:rsid w:val="0099152C"/>
    <w:rsid w:val="009969B9"/>
    <w:rsid w:val="009A2E00"/>
    <w:rsid w:val="009A2FF6"/>
    <w:rsid w:val="009B37B3"/>
    <w:rsid w:val="009C167E"/>
    <w:rsid w:val="009C4AFA"/>
    <w:rsid w:val="009C5D17"/>
    <w:rsid w:val="009C6E0E"/>
    <w:rsid w:val="009C73A0"/>
    <w:rsid w:val="009C73C7"/>
    <w:rsid w:val="009E1DC7"/>
    <w:rsid w:val="009F35E4"/>
    <w:rsid w:val="00A012A9"/>
    <w:rsid w:val="00A12204"/>
    <w:rsid w:val="00A15DF9"/>
    <w:rsid w:val="00A21210"/>
    <w:rsid w:val="00A2360F"/>
    <w:rsid w:val="00A24D7D"/>
    <w:rsid w:val="00A3030B"/>
    <w:rsid w:val="00A33A36"/>
    <w:rsid w:val="00A3574B"/>
    <w:rsid w:val="00A41967"/>
    <w:rsid w:val="00A46522"/>
    <w:rsid w:val="00A61531"/>
    <w:rsid w:val="00A764D0"/>
    <w:rsid w:val="00A846DD"/>
    <w:rsid w:val="00A87A62"/>
    <w:rsid w:val="00A9323B"/>
    <w:rsid w:val="00A97485"/>
    <w:rsid w:val="00AA0E0A"/>
    <w:rsid w:val="00AA15A8"/>
    <w:rsid w:val="00AD719C"/>
    <w:rsid w:val="00AE5619"/>
    <w:rsid w:val="00AF1AD7"/>
    <w:rsid w:val="00AF4278"/>
    <w:rsid w:val="00AF68E7"/>
    <w:rsid w:val="00B01665"/>
    <w:rsid w:val="00B026D4"/>
    <w:rsid w:val="00B132CD"/>
    <w:rsid w:val="00B13D52"/>
    <w:rsid w:val="00B21504"/>
    <w:rsid w:val="00B41819"/>
    <w:rsid w:val="00B41850"/>
    <w:rsid w:val="00B443F2"/>
    <w:rsid w:val="00B444FA"/>
    <w:rsid w:val="00B52973"/>
    <w:rsid w:val="00B55700"/>
    <w:rsid w:val="00B56C30"/>
    <w:rsid w:val="00B604B0"/>
    <w:rsid w:val="00B63E38"/>
    <w:rsid w:val="00B647BA"/>
    <w:rsid w:val="00B64AE4"/>
    <w:rsid w:val="00B74F35"/>
    <w:rsid w:val="00B76AD6"/>
    <w:rsid w:val="00B95A99"/>
    <w:rsid w:val="00BA7841"/>
    <w:rsid w:val="00BB55C7"/>
    <w:rsid w:val="00BB7EBE"/>
    <w:rsid w:val="00BB7F4B"/>
    <w:rsid w:val="00BE7930"/>
    <w:rsid w:val="00BF4E75"/>
    <w:rsid w:val="00C013E0"/>
    <w:rsid w:val="00C02D05"/>
    <w:rsid w:val="00C05DAC"/>
    <w:rsid w:val="00C24963"/>
    <w:rsid w:val="00C26563"/>
    <w:rsid w:val="00C30179"/>
    <w:rsid w:val="00C32FB8"/>
    <w:rsid w:val="00C34C2C"/>
    <w:rsid w:val="00C37CA5"/>
    <w:rsid w:val="00C44D99"/>
    <w:rsid w:val="00C52ED5"/>
    <w:rsid w:val="00C567EC"/>
    <w:rsid w:val="00C92DD4"/>
    <w:rsid w:val="00CA1E08"/>
    <w:rsid w:val="00CA787D"/>
    <w:rsid w:val="00CB1022"/>
    <w:rsid w:val="00CB4C91"/>
    <w:rsid w:val="00CB745B"/>
    <w:rsid w:val="00CC5C42"/>
    <w:rsid w:val="00CE4EF9"/>
    <w:rsid w:val="00D04580"/>
    <w:rsid w:val="00D0752A"/>
    <w:rsid w:val="00D103A0"/>
    <w:rsid w:val="00D35C63"/>
    <w:rsid w:val="00D35F9E"/>
    <w:rsid w:val="00D40B68"/>
    <w:rsid w:val="00D45CFC"/>
    <w:rsid w:val="00D64DB1"/>
    <w:rsid w:val="00D713A1"/>
    <w:rsid w:val="00D80FE7"/>
    <w:rsid w:val="00D82A21"/>
    <w:rsid w:val="00DA4CE7"/>
    <w:rsid w:val="00DA76EB"/>
    <w:rsid w:val="00DA7E4D"/>
    <w:rsid w:val="00DB0370"/>
    <w:rsid w:val="00DB2079"/>
    <w:rsid w:val="00DB35A3"/>
    <w:rsid w:val="00DB536F"/>
    <w:rsid w:val="00DB7B29"/>
    <w:rsid w:val="00DC789C"/>
    <w:rsid w:val="00DC7EDB"/>
    <w:rsid w:val="00DD5B2A"/>
    <w:rsid w:val="00DD7B37"/>
    <w:rsid w:val="00E02C95"/>
    <w:rsid w:val="00E059E6"/>
    <w:rsid w:val="00E146B7"/>
    <w:rsid w:val="00E212A2"/>
    <w:rsid w:val="00E22372"/>
    <w:rsid w:val="00E30326"/>
    <w:rsid w:val="00E5297A"/>
    <w:rsid w:val="00E53CB7"/>
    <w:rsid w:val="00E54209"/>
    <w:rsid w:val="00E57119"/>
    <w:rsid w:val="00E81BDD"/>
    <w:rsid w:val="00E8742F"/>
    <w:rsid w:val="00EB3B99"/>
    <w:rsid w:val="00EB478B"/>
    <w:rsid w:val="00EC23BE"/>
    <w:rsid w:val="00EC327F"/>
    <w:rsid w:val="00EE2B96"/>
    <w:rsid w:val="00EF640D"/>
    <w:rsid w:val="00F027D1"/>
    <w:rsid w:val="00F07A81"/>
    <w:rsid w:val="00F10371"/>
    <w:rsid w:val="00F15341"/>
    <w:rsid w:val="00F25FB7"/>
    <w:rsid w:val="00F34357"/>
    <w:rsid w:val="00F46DB2"/>
    <w:rsid w:val="00F525B9"/>
    <w:rsid w:val="00F5716D"/>
    <w:rsid w:val="00F6460B"/>
    <w:rsid w:val="00F66DAE"/>
    <w:rsid w:val="00F71597"/>
    <w:rsid w:val="00F71B45"/>
    <w:rsid w:val="00F732F3"/>
    <w:rsid w:val="00F84D16"/>
    <w:rsid w:val="00F8662E"/>
    <w:rsid w:val="00F9071F"/>
    <w:rsid w:val="00F96BE1"/>
    <w:rsid w:val="00FA22FD"/>
    <w:rsid w:val="00FA5788"/>
    <w:rsid w:val="00FA6413"/>
    <w:rsid w:val="00FB2BA0"/>
    <w:rsid w:val="00FB2BA4"/>
    <w:rsid w:val="00FD322E"/>
    <w:rsid w:val="00FE1D24"/>
    <w:rsid w:val="00FE2FEA"/>
    <w:rsid w:val="00FF0E83"/>
    <w:rsid w:val="00FF78F9"/>
    <w:rsid w:val="025B14EB"/>
    <w:rsid w:val="03A97AD4"/>
    <w:rsid w:val="0476236D"/>
    <w:rsid w:val="04A65B05"/>
    <w:rsid w:val="050D3CCD"/>
    <w:rsid w:val="053A465F"/>
    <w:rsid w:val="05B23C8A"/>
    <w:rsid w:val="05FA4E5A"/>
    <w:rsid w:val="06421F57"/>
    <w:rsid w:val="06BD5D0B"/>
    <w:rsid w:val="07287ACA"/>
    <w:rsid w:val="07AE574C"/>
    <w:rsid w:val="081D70DE"/>
    <w:rsid w:val="08CD3D53"/>
    <w:rsid w:val="09181829"/>
    <w:rsid w:val="094E5251"/>
    <w:rsid w:val="098269A5"/>
    <w:rsid w:val="0ADE1712"/>
    <w:rsid w:val="0B0E5232"/>
    <w:rsid w:val="0BE07789"/>
    <w:rsid w:val="0C9E6FC1"/>
    <w:rsid w:val="0CF051CA"/>
    <w:rsid w:val="0E4E625E"/>
    <w:rsid w:val="0E7060AB"/>
    <w:rsid w:val="0F0154DE"/>
    <w:rsid w:val="0FAB68C5"/>
    <w:rsid w:val="10787FEC"/>
    <w:rsid w:val="10EB269B"/>
    <w:rsid w:val="11483476"/>
    <w:rsid w:val="126C27ED"/>
    <w:rsid w:val="130804C5"/>
    <w:rsid w:val="137220F3"/>
    <w:rsid w:val="142101FF"/>
    <w:rsid w:val="15FB3489"/>
    <w:rsid w:val="162F539D"/>
    <w:rsid w:val="167A58EE"/>
    <w:rsid w:val="17E3743F"/>
    <w:rsid w:val="186A0DF4"/>
    <w:rsid w:val="19091420"/>
    <w:rsid w:val="1BED296E"/>
    <w:rsid w:val="1C493337"/>
    <w:rsid w:val="1C620175"/>
    <w:rsid w:val="1CC632BE"/>
    <w:rsid w:val="1D7A05E6"/>
    <w:rsid w:val="1D9F56A6"/>
    <w:rsid w:val="1EE419D2"/>
    <w:rsid w:val="1F0429EF"/>
    <w:rsid w:val="1FC21C71"/>
    <w:rsid w:val="1FDA5A70"/>
    <w:rsid w:val="21756F70"/>
    <w:rsid w:val="22B652ED"/>
    <w:rsid w:val="245F573A"/>
    <w:rsid w:val="249C1D1C"/>
    <w:rsid w:val="2556170E"/>
    <w:rsid w:val="25626261"/>
    <w:rsid w:val="29C40D94"/>
    <w:rsid w:val="29F170FC"/>
    <w:rsid w:val="2B0513A0"/>
    <w:rsid w:val="2B885F42"/>
    <w:rsid w:val="2BA51BBE"/>
    <w:rsid w:val="2BD87A4C"/>
    <w:rsid w:val="2C6159BF"/>
    <w:rsid w:val="2D5A1875"/>
    <w:rsid w:val="2E1A1966"/>
    <w:rsid w:val="2E547822"/>
    <w:rsid w:val="30D4155E"/>
    <w:rsid w:val="313B72D2"/>
    <w:rsid w:val="315B1A32"/>
    <w:rsid w:val="316E6827"/>
    <w:rsid w:val="3393072B"/>
    <w:rsid w:val="346045FB"/>
    <w:rsid w:val="35BC65A2"/>
    <w:rsid w:val="373972A7"/>
    <w:rsid w:val="37F9379E"/>
    <w:rsid w:val="389A0168"/>
    <w:rsid w:val="38EC0496"/>
    <w:rsid w:val="39C74F58"/>
    <w:rsid w:val="3A5B5BCB"/>
    <w:rsid w:val="3ABF58EF"/>
    <w:rsid w:val="3BA65BED"/>
    <w:rsid w:val="3D464014"/>
    <w:rsid w:val="3DB755CD"/>
    <w:rsid w:val="3E383C11"/>
    <w:rsid w:val="3E5D3118"/>
    <w:rsid w:val="3F68526B"/>
    <w:rsid w:val="42D01FDE"/>
    <w:rsid w:val="4479205E"/>
    <w:rsid w:val="44C91BE7"/>
    <w:rsid w:val="44D91686"/>
    <w:rsid w:val="463C1579"/>
    <w:rsid w:val="466E4C5F"/>
    <w:rsid w:val="473036B4"/>
    <w:rsid w:val="47636041"/>
    <w:rsid w:val="48A3256B"/>
    <w:rsid w:val="49B47E52"/>
    <w:rsid w:val="4AA6497F"/>
    <w:rsid w:val="4AEE228E"/>
    <w:rsid w:val="4AF30483"/>
    <w:rsid w:val="4B262F83"/>
    <w:rsid w:val="4C90244B"/>
    <w:rsid w:val="4CD77677"/>
    <w:rsid w:val="4D195B62"/>
    <w:rsid w:val="4E6C3038"/>
    <w:rsid w:val="4F2711ED"/>
    <w:rsid w:val="500731CC"/>
    <w:rsid w:val="52865A20"/>
    <w:rsid w:val="54115E53"/>
    <w:rsid w:val="54C67EA4"/>
    <w:rsid w:val="55292147"/>
    <w:rsid w:val="55DE0971"/>
    <w:rsid w:val="55EA1E5C"/>
    <w:rsid w:val="56082E65"/>
    <w:rsid w:val="5623081C"/>
    <w:rsid w:val="57E45843"/>
    <w:rsid w:val="580261FB"/>
    <w:rsid w:val="58710F7D"/>
    <w:rsid w:val="59CF0866"/>
    <w:rsid w:val="59FB29AF"/>
    <w:rsid w:val="5A7E6BEA"/>
    <w:rsid w:val="5B2D4C71"/>
    <w:rsid w:val="5B392037"/>
    <w:rsid w:val="5C41066B"/>
    <w:rsid w:val="5C6A01AA"/>
    <w:rsid w:val="5C705921"/>
    <w:rsid w:val="5CF216B4"/>
    <w:rsid w:val="5D780DFC"/>
    <w:rsid w:val="5DA26FAD"/>
    <w:rsid w:val="5EF05C2E"/>
    <w:rsid w:val="5F081D78"/>
    <w:rsid w:val="616F7F68"/>
    <w:rsid w:val="61813705"/>
    <w:rsid w:val="620D4B5E"/>
    <w:rsid w:val="625472E1"/>
    <w:rsid w:val="627D6D4F"/>
    <w:rsid w:val="62AF08F4"/>
    <w:rsid w:val="62E742D1"/>
    <w:rsid w:val="666D4ABF"/>
    <w:rsid w:val="67077294"/>
    <w:rsid w:val="67651D68"/>
    <w:rsid w:val="6883105F"/>
    <w:rsid w:val="68C478A6"/>
    <w:rsid w:val="698F0F53"/>
    <w:rsid w:val="6AA05A7E"/>
    <w:rsid w:val="6B6D6FD4"/>
    <w:rsid w:val="71231AA4"/>
    <w:rsid w:val="723F61FD"/>
    <w:rsid w:val="72A262A2"/>
    <w:rsid w:val="730A49CC"/>
    <w:rsid w:val="7541206D"/>
    <w:rsid w:val="76C05EEF"/>
    <w:rsid w:val="76F913BE"/>
    <w:rsid w:val="775E1C7F"/>
    <w:rsid w:val="7AB73490"/>
    <w:rsid w:val="7AC94D0C"/>
    <w:rsid w:val="7B026C1A"/>
    <w:rsid w:val="7BDE58D1"/>
    <w:rsid w:val="7CA87732"/>
    <w:rsid w:val="7CF46A84"/>
    <w:rsid w:val="7D4A7AC1"/>
    <w:rsid w:val="7EB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after="200" w:line="300" w:lineRule="auto"/>
      <w:outlineLvl w:val="0"/>
    </w:pPr>
    <w:rPr>
      <w:rFonts w:ascii="黑体" w:eastAsia="黑体"/>
      <w:b/>
      <w:kern w:val="44"/>
      <w:sz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beforeLines="50" w:afterLines="50"/>
      <w:ind w:firstLine="420"/>
      <w:textAlignment w:val="baseline"/>
    </w:pPr>
    <w:rPr>
      <w:sz w:val="24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basedOn w:val="1"/>
    <w:qFormat/>
    <w:uiPriority w:val="0"/>
    <w:pPr>
      <w:ind w:firstLine="560" w:firstLineChars="200"/>
    </w:pPr>
    <w:rPr>
      <w:sz w:val="28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semiHidden/>
    <w:qFormat/>
    <w:uiPriority w:val="0"/>
    <w:pPr>
      <w:jc w:val="center"/>
    </w:pPr>
    <w:rPr>
      <w:rFonts w:ascii="宋体" w:hAnsi="宋体"/>
      <w:sz w:val="24"/>
    </w:rPr>
  </w:style>
  <w:style w:type="paragraph" w:styleId="18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index 1"/>
    <w:basedOn w:val="1"/>
    <w:next w:val="1"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0"/>
    <w:rPr>
      <w:color w:val="0000FF"/>
      <w:u w:val="single"/>
    </w:rPr>
  </w:style>
  <w:style w:type="character" w:styleId="26">
    <w:name w:val="annotation reference"/>
    <w:semiHidden/>
    <w:uiPriority w:val="0"/>
    <w:rPr>
      <w:sz w:val="21"/>
      <w:szCs w:val="21"/>
    </w:rPr>
  </w:style>
  <w:style w:type="character" w:customStyle="1" w:styleId="27">
    <w:name w:val="访问过的超链接"/>
    <w:uiPriority w:val="0"/>
    <w:rPr>
      <w:color w:val="800080"/>
      <w:u w:val="single"/>
    </w:rPr>
  </w:style>
  <w:style w:type="character" w:customStyle="1" w:styleId="28">
    <w:name w:val="无间隔 Char"/>
    <w:link w:val="29"/>
    <w:uiPriority w:val="0"/>
    <w:rPr>
      <w:kern w:val="2"/>
      <w:sz w:val="21"/>
      <w:szCs w:val="22"/>
      <w:lang w:val="en-US" w:eastAsia="zh-CN" w:bidi="ar-SA"/>
    </w:rPr>
  </w:style>
  <w:style w:type="paragraph" w:styleId="29">
    <w:name w:val="No Spacing"/>
    <w:link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_Style 14"/>
    <w:semiHidden/>
    <w:uiPriority w:val="99"/>
    <w:rPr>
      <w:color w:val="808080"/>
    </w:rPr>
  </w:style>
  <w:style w:type="paragraph" w:customStyle="1" w:styleId="31">
    <w:name w:val="_Style 7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Cs w:val="28"/>
    </w:rPr>
  </w:style>
  <w:style w:type="paragraph" w:customStyle="1" w:styleId="3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15"/>
    <w:basedOn w:val="1"/>
    <w:qFormat/>
    <w:uiPriority w:val="34"/>
    <w:pPr>
      <w:ind w:firstLine="420" w:firstLineChars="200"/>
    </w:pPr>
  </w:style>
  <w:style w:type="paragraph" w:customStyle="1" w:styleId="34">
    <w:name w:val="Body Copy"/>
    <w:basedOn w:val="5"/>
    <w:qFormat/>
    <w:uiPriority w:val="0"/>
    <w:pPr>
      <w:keepLines w:val="0"/>
      <w:widowControl/>
      <w:tabs>
        <w:tab w:val="left" w:pos="1440"/>
        <w:tab w:val="left" w:pos="4320"/>
      </w:tabs>
      <w:spacing w:before="240" w:after="60" w:line="240" w:lineRule="auto"/>
      <w:jc w:val="left"/>
      <w:outlineLvl w:val="9"/>
    </w:pPr>
    <w:rPr>
      <w:b w:val="0"/>
      <w:kern w:val="0"/>
      <w:sz w:val="24"/>
    </w:rPr>
  </w:style>
  <w:style w:type="paragraph" w:customStyle="1" w:styleId="35">
    <w:name w:val="正文(单倍行距)"/>
    <w:basedOn w:val="1"/>
    <w:qFormat/>
    <w:uiPriority w:val="0"/>
    <w:pPr>
      <w:adjustRightInd w:val="0"/>
      <w:snapToGrid w:val="0"/>
      <w:jc w:val="center"/>
    </w:pPr>
  </w:style>
  <w:style w:type="paragraph" w:customStyle="1" w:styleId="36">
    <w:name w:val="Absatz2AL"/>
    <w:basedOn w:val="8"/>
    <w:next w:val="1"/>
    <w:qFormat/>
    <w:uiPriority w:val="0"/>
    <w:pPr>
      <w:widowControl/>
      <w:overflowPunct w:val="0"/>
      <w:autoSpaceDE w:val="0"/>
      <w:autoSpaceDN w:val="0"/>
      <w:adjustRightInd w:val="0"/>
      <w:spacing w:after="0"/>
    </w:pPr>
    <w:rPr>
      <w:rFonts w:eastAsia="楷体_GB2312"/>
      <w:kern w:val="0"/>
      <w:sz w:val="24"/>
      <w:szCs w:val="20"/>
      <w:lang w:val="de-DE"/>
    </w:rPr>
  </w:style>
  <w:style w:type="character" w:customStyle="1" w:styleId="37">
    <w:name w:val="fontstyle01"/>
    <w:basedOn w:val="22"/>
    <w:qFormat/>
    <w:uiPriority w:val="0"/>
    <w:rPr>
      <w:rFonts w:hint="eastAsia" w:ascii="创艺简细圆-Identity-H" w:eastAsia="创艺简细圆-Identity-H"/>
      <w:color w:val="403F41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2</Pages>
  <Words>1330</Words>
  <Characters>1503</Characters>
  <Lines>12</Lines>
  <Paragraphs>3</Paragraphs>
  <TotalTime>24</TotalTime>
  <ScaleCrop>false</ScaleCrop>
  <LinksUpToDate>false</LinksUpToDate>
  <CharactersWithSpaces>1660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2024-08-27T07:46:00Z</dcterms:created>
  <dc:creator>tms</dc:creator>
  <cp:lastModifiedBy>rjs</cp:lastModifiedBy>
  <cp:lastPrinted>2020-11-29T00:50:00Z</cp:lastPrinted>
  <dcterms:modified xsi:type="dcterms:W3CDTF">2024-10-08T01:52:16Z</dcterms:modified>
  <dc:title>天马山用矿井轴流通风机招标技术要求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9CA06B2B5F834D53B8940031171152C0_12</vt:lpwstr>
  </property>
</Properties>
</file>